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47F5" w14:textId="0B75C08D" w:rsidR="00AA3FAE" w:rsidRPr="0035034A" w:rsidRDefault="00AA3FAE" w:rsidP="00AA3FAE">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3C333E">
        <w:rPr>
          <w:rFonts w:ascii="Arial" w:eastAsia="Dotum" w:hAnsi="Arial" w:cs="Times New Roman"/>
          <w:b/>
          <w:bCs/>
          <w:kern w:val="0"/>
          <w:sz w:val="24"/>
          <w:szCs w:val="18"/>
          <w:lang w:val="en-GB"/>
        </w:rPr>
        <w:t>7</w:t>
      </w:r>
      <w:r w:rsidR="00FD222B">
        <w:rPr>
          <w:rFonts w:ascii="Arial" w:eastAsia="Dotum" w:hAnsi="Arial" w:cs="Times New Roman"/>
          <w:b/>
          <w:bCs/>
          <w:kern w:val="0"/>
          <w:sz w:val="24"/>
          <w:szCs w:val="18"/>
          <w:lang w:val="en-GB"/>
        </w:rPr>
        <w:t>bis</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w:t>
      </w:r>
      <w:r w:rsidR="00B26539" w:rsidRPr="00B26539">
        <w:rPr>
          <w:rFonts w:ascii="Arial" w:eastAsia="Dotum" w:hAnsi="Arial" w:cs="Times New Roman"/>
          <w:b/>
          <w:bCs/>
          <w:kern w:val="0"/>
          <w:sz w:val="24"/>
          <w:szCs w:val="18"/>
          <w:lang w:val="en-GB"/>
        </w:rPr>
        <w:t>22</w:t>
      </w:r>
      <w:r w:rsidR="004E23B0">
        <w:rPr>
          <w:rFonts w:ascii="Arial" w:eastAsia="Dotum" w:hAnsi="Arial" w:cs="Times New Roman"/>
          <w:b/>
          <w:bCs/>
          <w:kern w:val="0"/>
          <w:sz w:val="24"/>
          <w:szCs w:val="18"/>
          <w:lang w:val="en-GB"/>
        </w:rPr>
        <w:t>5490</w:t>
      </w:r>
    </w:p>
    <w:p w14:paraId="4BF14776" w14:textId="2CCB06D3"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1</w:t>
      </w:r>
      <w:r w:rsidR="00FD222B">
        <w:rPr>
          <w:rFonts w:ascii="Arial" w:eastAsia="宋体" w:hAnsi="Arial" w:cs="黑体"/>
          <w:b/>
          <w:bCs/>
          <w:noProof/>
          <w:kern w:val="0"/>
          <w:sz w:val="24"/>
        </w:rPr>
        <w:t>0</w:t>
      </w:r>
      <w:r w:rsidR="00571FC2">
        <w:rPr>
          <w:rFonts w:ascii="Arial" w:eastAsia="宋体" w:hAnsi="Arial" w:cs="黑体" w:hint="eastAsia"/>
          <w:b/>
          <w:bCs/>
          <w:noProof/>
          <w:kern w:val="0"/>
          <w:sz w:val="24"/>
          <w:vertAlign w:val="superscript"/>
        </w:rPr>
        <w:t>t</w:t>
      </w:r>
      <w:r w:rsidR="003C333E">
        <w:rPr>
          <w:rFonts w:ascii="Arial" w:eastAsia="宋体" w:hAnsi="Arial" w:cs="黑体"/>
          <w:b/>
          <w:bCs/>
          <w:noProof/>
          <w:kern w:val="0"/>
          <w:sz w:val="24"/>
          <w:vertAlign w:val="superscript"/>
        </w:rPr>
        <w:t>h</w:t>
      </w:r>
      <w:r w:rsidR="00384956">
        <w:rPr>
          <w:rFonts w:ascii="Arial" w:eastAsia="宋体" w:hAnsi="Arial" w:cs="黑体"/>
          <w:b/>
          <w:bCs/>
          <w:noProof/>
          <w:kern w:val="0"/>
          <w:sz w:val="24"/>
        </w:rPr>
        <w:t xml:space="preserve"> </w:t>
      </w:r>
      <w:r w:rsidR="00AA3FAE" w:rsidRPr="00A26D85">
        <w:rPr>
          <w:rFonts w:ascii="Arial" w:eastAsia="宋体" w:hAnsi="Arial" w:cs="黑体"/>
          <w:b/>
          <w:bCs/>
          <w:noProof/>
          <w:kern w:val="0"/>
          <w:sz w:val="24"/>
        </w:rPr>
        <w:t xml:space="preserve">– </w:t>
      </w:r>
      <w:r w:rsidR="00FD222B">
        <w:rPr>
          <w:rFonts w:ascii="Arial" w:eastAsia="宋体" w:hAnsi="Arial" w:cs="黑体"/>
          <w:b/>
          <w:bCs/>
          <w:noProof/>
          <w:kern w:val="0"/>
          <w:sz w:val="24"/>
        </w:rPr>
        <w:t>18</w:t>
      </w:r>
      <w:r w:rsidR="003C333E">
        <w:rPr>
          <w:rFonts w:ascii="Arial" w:eastAsia="宋体" w:hAnsi="Arial" w:cs="黑体"/>
          <w:b/>
          <w:bCs/>
          <w:noProof/>
          <w:kern w:val="0"/>
          <w:sz w:val="24"/>
          <w:vertAlign w:val="superscript"/>
        </w:rPr>
        <w:t>th</w:t>
      </w:r>
      <w:r w:rsidR="00AA3FAE" w:rsidRPr="00A26D85">
        <w:rPr>
          <w:rFonts w:ascii="Arial" w:eastAsia="宋体" w:hAnsi="Arial" w:cs="黑体"/>
          <w:b/>
          <w:bCs/>
          <w:noProof/>
          <w:kern w:val="0"/>
          <w:sz w:val="24"/>
        </w:rPr>
        <w:t xml:space="preserve"> </w:t>
      </w:r>
      <w:r w:rsidR="00FD222B">
        <w:rPr>
          <w:rFonts w:ascii="Arial" w:eastAsia="宋体" w:hAnsi="Arial" w:cs="黑体"/>
          <w:b/>
          <w:bCs/>
          <w:noProof/>
          <w:kern w:val="0"/>
          <w:sz w:val="24"/>
        </w:rPr>
        <w:t>Oct</w:t>
      </w:r>
      <w:r w:rsidR="00AA3FAE" w:rsidRPr="00A26D85">
        <w:rPr>
          <w:rFonts w:ascii="Arial" w:eastAsia="宋体" w:hAnsi="Arial" w:cs="黑体"/>
          <w:b/>
          <w:bCs/>
          <w:noProof/>
          <w:kern w:val="0"/>
          <w:sz w:val="24"/>
        </w:rPr>
        <w:t>, 202</w:t>
      </w:r>
      <w:r w:rsidR="0035034A">
        <w:rPr>
          <w:rFonts w:ascii="Arial" w:eastAsia="宋体" w:hAnsi="Arial" w:cs="黑体"/>
          <w:b/>
          <w:bCs/>
          <w:noProof/>
          <w:kern w:val="0"/>
          <w:sz w:val="24"/>
        </w:rPr>
        <w:t>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42640C08"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25293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120AD986"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770C1B" w:rsidRPr="00770C1B">
        <w:rPr>
          <w:rFonts w:ascii="Arial" w:eastAsia="宋体" w:hAnsi="Arial" w:cs="Times New Roman"/>
          <w:b/>
          <w:kern w:val="0"/>
          <w:sz w:val="22"/>
          <w:szCs w:val="20"/>
          <w:lang w:val="en-GB"/>
        </w:rPr>
        <w:t>Mobility enhancements for mobile IAB-node and its served UE</w:t>
      </w:r>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229606AE" w14:textId="77777777" w:rsidR="002F0CB9" w:rsidRDefault="002F0CB9" w:rsidP="002F0CB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w:t>
      </w:r>
      <w:proofErr w:type="gramStart"/>
      <w:r>
        <w:rPr>
          <w:rFonts w:ascii="Times New Roman" w:eastAsia="宋体" w:hAnsi="Times New Roman" w:cs="Times New Roman"/>
          <w:kern w:val="0"/>
          <w:sz w:val="20"/>
          <w:szCs w:val="20"/>
        </w:rPr>
        <w:t>18, and</w:t>
      </w:r>
      <w:proofErr w:type="gramEnd"/>
      <w:r>
        <w:rPr>
          <w:rFonts w:ascii="Times New Roman" w:eastAsia="宋体" w:hAnsi="Times New Roman" w:cs="Times New Roman"/>
          <w:kern w:val="0"/>
          <w:sz w:val="20"/>
          <w:szCs w:val="20"/>
        </w:rPr>
        <w:t xml:space="preserve"> following detail objectives are identified mainly focus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1F28782" w14:textId="77777777" w:rsidR="00236927" w:rsidRDefault="00236927" w:rsidP="00236927">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004578F2" w14:textId="77777777" w:rsidR="00236927" w:rsidRPr="00D06F6A" w:rsidRDefault="00236927" w:rsidP="00236927">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043D92FE" w14:textId="77777777" w:rsidR="00236927" w:rsidRPr="00D06F6A" w:rsidRDefault="00236927" w:rsidP="00236927">
            <w:pPr>
              <w:pStyle w:val="maintext"/>
              <w:numPr>
                <w:ilvl w:val="1"/>
                <w:numId w:val="9"/>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93CBACB" w14:textId="77777777" w:rsidR="00236927" w:rsidRPr="00314064" w:rsidRDefault="00236927" w:rsidP="00236927">
            <w:pPr>
              <w:pStyle w:val="maintext"/>
              <w:numPr>
                <w:ilvl w:val="0"/>
                <w:numId w:val="9"/>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9D6DF84" w14:textId="77777777" w:rsidR="00236927" w:rsidRPr="00314064" w:rsidRDefault="00236927" w:rsidP="00236927">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1C058673" w14:textId="03498F84" w:rsidR="002F0CB9" w:rsidRPr="001139CF" w:rsidRDefault="00236927" w:rsidP="00236927">
            <w:pPr>
              <w:pStyle w:val="maintext"/>
              <w:numPr>
                <w:ilvl w:val="0"/>
                <w:numId w:val="9"/>
              </w:numPr>
              <w:spacing w:line="240" w:lineRule="auto"/>
              <w:ind w:firstLineChars="0"/>
              <w:rPr>
                <w:rFonts w:ascii="Calibri" w:eastAsia="Times New Roman" w:hAnsi="Calibri" w:cs="Times New Roman"/>
                <w:sz w:val="22"/>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tc>
      </w:tr>
    </w:tbl>
    <w:p w14:paraId="6D4B8E3A" w14:textId="0E6FD93C" w:rsidR="006E5566" w:rsidRDefault="002F0CB9" w:rsidP="002F0CB9">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6E5566">
        <w:rPr>
          <w:rFonts w:ascii="Times New Roman" w:eastAsia="宋体" w:hAnsi="Times New Roman" w:cs="Times New Roman"/>
          <w:kern w:val="0"/>
          <w:sz w:val="20"/>
          <w:szCs w:val="20"/>
        </w:rPr>
        <w:t xml:space="preserve">enhancement for mobile IAB-node mobility is discussed, including </w:t>
      </w:r>
      <w:r w:rsidR="006E5566" w:rsidRPr="006E5566">
        <w:rPr>
          <w:rFonts w:ascii="Times New Roman" w:eastAsia="宋体" w:hAnsi="Times New Roman" w:cs="Times New Roman"/>
          <w:kern w:val="0"/>
          <w:sz w:val="20"/>
          <w:szCs w:val="20"/>
        </w:rPr>
        <w:t>aspects related to group mobility</w:t>
      </w:r>
      <w:r w:rsidR="006E5566">
        <w:rPr>
          <w:rFonts w:ascii="Times New Roman" w:eastAsia="宋体" w:hAnsi="Times New Roman" w:cs="Times New Roman"/>
          <w:kern w:val="0"/>
          <w:sz w:val="20"/>
          <w:szCs w:val="20"/>
        </w:rPr>
        <w:t xml:space="preserve"> with its served UE.</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4DB65650" w14:textId="77777777" w:rsidR="00FF6205" w:rsidRPr="0079429A" w:rsidRDefault="00FF6205" w:rsidP="00FF6205">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Mobile attribute notification of mobile IAB-node</w:t>
      </w:r>
    </w:p>
    <w:p w14:paraId="719A7151" w14:textId="00ED55F9" w:rsidR="00FF6205" w:rsidRDefault="00B173B2" w:rsidP="00B173B2">
      <w:pPr>
        <w:widowControl/>
        <w:overflowPunct w:val="0"/>
        <w:autoSpaceDE w:val="0"/>
        <w:autoSpaceDN w:val="0"/>
        <w:adjustRightInd w:val="0"/>
        <w:spacing w:beforeLines="50" w:before="120" w:after="120"/>
        <w:textAlignment w:val="baseline"/>
        <w:rPr>
          <w:rFonts w:ascii="Times New Roman" w:hAnsi="Times New Roman" w:cs="Times New Roman"/>
          <w:szCs w:val="21"/>
          <w:lang w:val="en-GB"/>
        </w:rPr>
      </w:pPr>
      <w:r>
        <w:rPr>
          <w:rFonts w:ascii="Times New Roman" w:eastAsia="宋体" w:hAnsi="Times New Roman" w:cs="Times New Roman"/>
          <w:kern w:val="0"/>
          <w:sz w:val="20"/>
          <w:szCs w:val="20"/>
        </w:rPr>
        <w:t>M</w:t>
      </w:r>
      <w:r w:rsidR="00FF6205">
        <w:rPr>
          <w:rFonts w:ascii="Times New Roman" w:eastAsia="宋体" w:hAnsi="Times New Roman" w:cs="Times New Roman"/>
          <w:kern w:val="0"/>
          <w:sz w:val="20"/>
          <w:szCs w:val="20"/>
        </w:rPr>
        <w:t>obile IAB-node is different from stationary IAB-node in many aspects. For the topology, mobile IAB-node can only serve for UEs and doesn’t have any descendant IAB-nodes.</w:t>
      </w:r>
      <w:r>
        <w:rPr>
          <w:rFonts w:ascii="Times New Roman" w:eastAsia="宋体" w:hAnsi="Times New Roman" w:cs="Times New Roman"/>
          <w:kern w:val="0"/>
          <w:sz w:val="20"/>
          <w:szCs w:val="20"/>
        </w:rPr>
        <w:t xml:space="preserve"> And</w:t>
      </w:r>
      <w:r w:rsidR="00FF6205">
        <w:rPr>
          <w:rFonts w:ascii="Times New Roman" w:eastAsia="宋体" w:hAnsi="Times New Roman" w:cs="Times New Roman"/>
          <w:kern w:val="0"/>
          <w:sz w:val="20"/>
          <w:szCs w:val="20"/>
        </w:rPr>
        <w:t xml:space="preserve"> mobile IAB-node is to support inter-donor full migration while the stationary IAB-node can only support partial migration in Rel-18. </w:t>
      </w:r>
      <w:r>
        <w:rPr>
          <w:rFonts w:ascii="Times New Roman" w:eastAsia="宋体" w:hAnsi="Times New Roman" w:cs="Times New Roman"/>
          <w:kern w:val="0"/>
          <w:sz w:val="20"/>
          <w:szCs w:val="20"/>
        </w:rPr>
        <w:t>In addition,</w:t>
      </w:r>
      <w:r w:rsidR="00FF6205">
        <w:rPr>
          <w:rFonts w:ascii="Times New Roman" w:eastAsia="宋体" w:hAnsi="Times New Roman" w:cs="Times New Roman"/>
          <w:kern w:val="0"/>
          <w:sz w:val="20"/>
          <w:szCs w:val="20"/>
        </w:rPr>
        <w:t xml:space="preserve"> the mobile IAB-node may have two logical IAB-DUs to support full migration which is also not supported by the stationary IAB-node.</w:t>
      </w:r>
      <w:r w:rsidRPr="00B173B2">
        <w:rPr>
          <w:rFonts w:ascii="Times New Roman" w:hAnsi="Times New Roman" w:cs="Times New Roman"/>
          <w:szCs w:val="21"/>
          <w:lang w:val="en-GB"/>
        </w:rPr>
        <w:t xml:space="preserve"> </w:t>
      </w:r>
      <w:r>
        <w:rPr>
          <w:rFonts w:ascii="Times New Roman" w:hAnsi="Times New Roman" w:cs="Times New Roman"/>
          <w:szCs w:val="21"/>
          <w:lang w:val="en-GB"/>
        </w:rPr>
        <w:t>It is essential for IAB-donor-CU to be aware of the mobile attribute of the mobile IAB-node so that it can make smart UE handover and IAB-node topology adaptation.</w:t>
      </w:r>
    </w:p>
    <w:p w14:paraId="02FED30B" w14:textId="77777777" w:rsidR="00B173B2" w:rsidRDefault="00B173B2" w:rsidP="00B173B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hAnsi="Times New Roman" w:cs="Times New Roman" w:hint="eastAsia"/>
          <w:szCs w:val="21"/>
          <w:lang w:val="en-GB"/>
        </w:rPr>
        <w:t>B</w:t>
      </w:r>
      <w:r>
        <w:rPr>
          <w:rFonts w:ascii="Times New Roman" w:hAnsi="Times New Roman" w:cs="Times New Roman"/>
          <w:szCs w:val="21"/>
          <w:lang w:val="en-GB"/>
        </w:rPr>
        <w:t xml:space="preserve">ased on the </w:t>
      </w:r>
      <w:r>
        <w:rPr>
          <w:rFonts w:ascii="Times New Roman" w:eastAsia="宋体" w:hAnsi="Times New Roman" w:cs="Times New Roman"/>
          <w:kern w:val="0"/>
          <w:sz w:val="20"/>
          <w:szCs w:val="20"/>
        </w:rPr>
        <w:t>agreement below in last meeting [2].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B173B2" w14:paraId="77D6659B" w14:textId="77777777" w:rsidTr="00421130">
        <w:trPr>
          <w:trHeight w:val="280"/>
        </w:trPr>
        <w:tc>
          <w:tcPr>
            <w:tcW w:w="9620" w:type="dxa"/>
          </w:tcPr>
          <w:p w14:paraId="04F2F610" w14:textId="77777777" w:rsidR="00B173B2" w:rsidRPr="004623EC" w:rsidRDefault="00B173B2" w:rsidP="00421130">
            <w:pPr>
              <w:rPr>
                <w:rFonts w:ascii="Calibri" w:hAnsi="Calibri" w:cs="Calibri"/>
                <w:b/>
                <w:color w:val="008000"/>
                <w:sz w:val="18"/>
                <w:szCs w:val="18"/>
                <w:lang w:eastAsia="en-US"/>
              </w:rPr>
            </w:pPr>
            <w:r w:rsidRPr="0034409C">
              <w:rPr>
                <w:rFonts w:ascii="Calibri" w:hAnsi="Calibri" w:cs="Calibri"/>
                <w:b/>
                <w:color w:val="008000"/>
                <w:sz w:val="18"/>
                <w:szCs w:val="18"/>
                <w:lang w:eastAsia="en-US"/>
              </w:rPr>
              <w:t xml:space="preserve">The donor CU should know that the IAB node is “mobile”. </w:t>
            </w:r>
          </w:p>
        </w:tc>
      </w:tr>
    </w:tbl>
    <w:p w14:paraId="6A2035E3" w14:textId="1768013E" w:rsidR="00B173B2" w:rsidRDefault="00B173B2"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in R16 for the stationary IAB-node, in </w:t>
      </w:r>
      <w:r w:rsidRPr="00F0569A">
        <w:rPr>
          <w:rFonts w:ascii="Times New Roman" w:eastAsia="宋体" w:hAnsi="Times New Roman" w:cs="Times New Roman"/>
          <w:kern w:val="0"/>
          <w:sz w:val="20"/>
          <w:szCs w:val="20"/>
        </w:rPr>
        <w:t xml:space="preserve">IAB-node </w:t>
      </w:r>
      <w:r>
        <w:rPr>
          <w:rFonts w:ascii="Times New Roman" w:eastAsia="宋体" w:hAnsi="Times New Roman" w:cs="Times New Roman"/>
          <w:kern w:val="0"/>
          <w:sz w:val="20"/>
          <w:szCs w:val="20"/>
        </w:rPr>
        <w:t>i</w:t>
      </w:r>
      <w:r w:rsidRPr="00F0569A">
        <w:rPr>
          <w:rFonts w:ascii="Times New Roman" w:eastAsia="宋体" w:hAnsi="Times New Roman" w:cs="Times New Roman"/>
          <w:kern w:val="0"/>
          <w:sz w:val="20"/>
          <w:szCs w:val="20"/>
        </w:rPr>
        <w:t xml:space="preserve">ntegration </w:t>
      </w:r>
      <w:r>
        <w:rPr>
          <w:rFonts w:ascii="Times New Roman" w:eastAsia="宋体" w:hAnsi="Times New Roman" w:cs="Times New Roman"/>
          <w:kern w:val="0"/>
          <w:sz w:val="20"/>
          <w:szCs w:val="20"/>
        </w:rPr>
        <w:t>p</w:t>
      </w:r>
      <w:r w:rsidRPr="00F0569A">
        <w:rPr>
          <w:rFonts w:ascii="Times New Roman" w:eastAsia="宋体" w:hAnsi="Times New Roman" w:cs="Times New Roman"/>
          <w:kern w:val="0"/>
          <w:sz w:val="20"/>
          <w:szCs w:val="20"/>
        </w:rPr>
        <w:t>rocedure</w:t>
      </w:r>
      <w:r>
        <w:rPr>
          <w:rFonts w:ascii="Times New Roman" w:eastAsia="宋体" w:hAnsi="Times New Roman" w:cs="Times New Roman"/>
          <w:kern w:val="0"/>
          <w:sz w:val="20"/>
          <w:szCs w:val="20"/>
        </w:rPr>
        <w:t>,</w:t>
      </w:r>
      <w:r w:rsidRPr="00F0569A">
        <w:rPr>
          <w:rFonts w:ascii="Times New Roman" w:eastAsia="宋体" w:hAnsi="Times New Roman" w:cs="Times New Roman"/>
          <w:kern w:val="0"/>
          <w:sz w:val="20"/>
          <w:szCs w:val="20"/>
        </w:rPr>
        <w:t xml:space="preserve"> the IAB-MT includes the IAB-node indication in </w:t>
      </w:r>
      <w:proofErr w:type="spellStart"/>
      <w:r w:rsidRPr="00F0569A">
        <w:rPr>
          <w:rFonts w:ascii="Times New Roman" w:eastAsia="宋体" w:hAnsi="Times New Roman" w:cs="Times New Roman"/>
          <w:i/>
          <w:iCs/>
          <w:kern w:val="0"/>
          <w:sz w:val="20"/>
          <w:szCs w:val="20"/>
        </w:rPr>
        <w:t>RRCSetupComplete</w:t>
      </w:r>
      <w:proofErr w:type="spellEnd"/>
      <w:r w:rsidRPr="00F0569A">
        <w:rPr>
          <w:rFonts w:ascii="Times New Roman" w:eastAsia="宋体" w:hAnsi="Times New Roman" w:cs="Times New Roman"/>
          <w:kern w:val="0"/>
          <w:sz w:val="20"/>
          <w:szCs w:val="20"/>
        </w:rPr>
        <w:t xml:space="preserve"> message</w:t>
      </w:r>
      <w:r>
        <w:rPr>
          <w:rFonts w:ascii="Times New Roman" w:eastAsia="宋体" w:hAnsi="Times New Roman" w:cs="Times New Roman"/>
          <w:kern w:val="0"/>
          <w:sz w:val="20"/>
          <w:szCs w:val="20"/>
        </w:rPr>
        <w:t xml:space="preserve"> t</w:t>
      </w:r>
      <w:r w:rsidRPr="00F0569A">
        <w:rPr>
          <w:rFonts w:ascii="Times New Roman" w:eastAsia="宋体" w:hAnsi="Times New Roman" w:cs="Times New Roman"/>
          <w:kern w:val="0"/>
          <w:sz w:val="20"/>
          <w:szCs w:val="20"/>
        </w:rPr>
        <w:t>o indicate its IAB capability</w:t>
      </w:r>
      <w:r>
        <w:rPr>
          <w:rFonts w:ascii="Times New Roman" w:eastAsia="宋体" w:hAnsi="Times New Roman" w:cs="Times New Roman"/>
          <w:kern w:val="0"/>
          <w:sz w:val="20"/>
          <w:szCs w:val="20"/>
        </w:rPr>
        <w:t xml:space="preserve"> and</w:t>
      </w:r>
      <w:r w:rsidRPr="00F0569A">
        <w:rPr>
          <w:rFonts w:ascii="Times New Roman" w:eastAsia="宋体" w:hAnsi="Times New Roman" w:cs="Times New Roman"/>
          <w:kern w:val="0"/>
          <w:sz w:val="20"/>
          <w:szCs w:val="20"/>
        </w:rPr>
        <w:t xml:space="preserve"> to assist the IAB-donor to select an AMF supporting IAB.</w:t>
      </w:r>
      <w:r>
        <w:rPr>
          <w:rFonts w:ascii="Times New Roman" w:eastAsia="宋体" w:hAnsi="Times New Roman" w:cs="Times New Roman"/>
          <w:kern w:val="0"/>
          <w:sz w:val="20"/>
          <w:szCs w:val="20"/>
        </w:rPr>
        <w:t xml:space="preserve"> This can be also applied to the mobile IAB-node.</w:t>
      </w:r>
    </w:p>
    <w:p w14:paraId="00CD7381" w14:textId="053EC7F9" w:rsidR="00B173B2" w:rsidRDefault="00B173B2" w:rsidP="00B173B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BC2F2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Mobile IAB-MT includes the mobile att</w:t>
      </w:r>
      <w:r>
        <w:rPr>
          <w:rFonts w:ascii="Times New Roman" w:eastAsia="宋体" w:hAnsi="Times New Roman" w:cs="Times New Roman"/>
          <w:b/>
          <w:bCs/>
          <w:kern w:val="0"/>
          <w:sz w:val="20"/>
          <w:szCs w:val="20"/>
        </w:rPr>
        <w:t>r</w:t>
      </w:r>
      <w:r w:rsidRPr="00B173B2">
        <w:rPr>
          <w:rFonts w:ascii="Times New Roman" w:eastAsia="宋体" w:hAnsi="Times New Roman" w:cs="Times New Roman"/>
          <w:b/>
          <w:bCs/>
          <w:kern w:val="0"/>
          <w:sz w:val="20"/>
          <w:szCs w:val="20"/>
        </w:rPr>
        <w:t xml:space="preserve">ibute in </w:t>
      </w:r>
      <w:proofErr w:type="spellStart"/>
      <w:r w:rsidRPr="00B173B2">
        <w:rPr>
          <w:rFonts w:ascii="Times New Roman" w:eastAsia="宋体" w:hAnsi="Times New Roman" w:cs="Times New Roman"/>
          <w:b/>
          <w:bCs/>
          <w:kern w:val="0"/>
          <w:sz w:val="20"/>
          <w:szCs w:val="20"/>
        </w:rPr>
        <w:t>RRCSetupComplete</w:t>
      </w:r>
      <w:proofErr w:type="spellEnd"/>
      <w:r w:rsidRPr="00B173B2">
        <w:rPr>
          <w:rFonts w:ascii="Times New Roman" w:eastAsia="宋体" w:hAnsi="Times New Roman" w:cs="Times New Roman"/>
          <w:b/>
          <w:bCs/>
          <w:kern w:val="0"/>
          <w:sz w:val="20"/>
          <w:szCs w:val="20"/>
        </w:rPr>
        <w:t xml:space="preserve"> message</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to IAB-donor-CU.</w:t>
      </w:r>
    </w:p>
    <w:p w14:paraId="4CFA1E45" w14:textId="259C69D7"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w:t>
      </w:r>
      <w:r w:rsidRPr="00BC2F24">
        <w:rPr>
          <w:rFonts w:ascii="Times New Roman" w:eastAsia="宋体" w:hAnsi="Times New Roman" w:cs="Times New Roman"/>
          <w:kern w:val="0"/>
          <w:sz w:val="20"/>
          <w:szCs w:val="20"/>
        </w:rPr>
        <w:t>imilarly</w:t>
      </w:r>
      <w:r>
        <w:rPr>
          <w:rFonts w:ascii="Times New Roman" w:eastAsia="宋体" w:hAnsi="Times New Roman" w:cs="Times New Roman"/>
          <w:kern w:val="0"/>
          <w:sz w:val="20"/>
          <w:szCs w:val="20"/>
        </w:rPr>
        <w:t>, during the inter-donor migration for mobile IAB-node, m</w:t>
      </w:r>
      <w:r w:rsidRPr="00BC2F24">
        <w:rPr>
          <w:rFonts w:ascii="Times New Roman" w:eastAsia="宋体" w:hAnsi="Times New Roman" w:cs="Times New Roman"/>
          <w:kern w:val="0"/>
          <w:sz w:val="20"/>
          <w:szCs w:val="20"/>
        </w:rPr>
        <w:t xml:space="preserve">obile attribute of mobile IAB-node needs to be exchanged between source IAB-donor and target IAB-donor </w:t>
      </w:r>
      <w:r>
        <w:rPr>
          <w:rFonts w:ascii="Times New Roman" w:eastAsia="宋体" w:hAnsi="Times New Roman" w:cs="Times New Roman"/>
          <w:kern w:val="0"/>
          <w:sz w:val="20"/>
          <w:szCs w:val="20"/>
        </w:rPr>
        <w:t>via</w:t>
      </w:r>
      <w:r w:rsidRPr="00BC2F24">
        <w:rPr>
          <w:rFonts w:ascii="Times New Roman" w:eastAsia="宋体" w:hAnsi="Times New Roman" w:cs="Times New Roman"/>
          <w:kern w:val="0"/>
          <w:sz w:val="20"/>
          <w:szCs w:val="20"/>
        </w:rPr>
        <w:t xml:space="preserve"> </w:t>
      </w:r>
      <w:proofErr w:type="spellStart"/>
      <w:r w:rsidRPr="00BC2F24">
        <w:rPr>
          <w:rFonts w:ascii="Times New Roman" w:eastAsia="宋体" w:hAnsi="Times New Roman" w:cs="Times New Roman"/>
          <w:kern w:val="0"/>
          <w:sz w:val="20"/>
          <w:szCs w:val="20"/>
        </w:rPr>
        <w:t>XnAP</w:t>
      </w:r>
      <w:proofErr w:type="spellEnd"/>
      <w:r w:rsidR="00D72997">
        <w:rPr>
          <w:rFonts w:ascii="Times New Roman" w:eastAsia="宋体" w:hAnsi="Times New Roman" w:cs="Times New Roman"/>
          <w:kern w:val="0"/>
          <w:sz w:val="20"/>
          <w:szCs w:val="20"/>
        </w:rPr>
        <w:t xml:space="preserve"> or NGAP</w:t>
      </w:r>
      <w:r>
        <w:rPr>
          <w:rFonts w:ascii="Times New Roman" w:eastAsia="宋体" w:hAnsi="Times New Roman" w:cs="Times New Roman"/>
          <w:kern w:val="0"/>
          <w:sz w:val="20"/>
          <w:szCs w:val="20"/>
        </w:rPr>
        <w:t>.</w:t>
      </w:r>
    </w:p>
    <w:p w14:paraId="5FED00D0" w14:textId="6EA0AE68" w:rsidR="00FF6205" w:rsidRPr="00BC2F24"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t xml:space="preserve">Proposal </w:t>
      </w:r>
      <w:r w:rsidR="00387EF8">
        <w:rPr>
          <w:rFonts w:ascii="Times New Roman" w:eastAsia="宋体" w:hAnsi="Times New Roman" w:cs="Times New Roman"/>
          <w:b/>
          <w:bCs/>
          <w:kern w:val="0"/>
          <w:sz w:val="20"/>
          <w:szCs w:val="20"/>
        </w:rPr>
        <w:t>2</w:t>
      </w:r>
      <w:r w:rsidRPr="00BC2F24">
        <w:rPr>
          <w:rFonts w:ascii="Times New Roman" w:eastAsia="宋体" w:hAnsi="Times New Roman" w:cs="Times New Roman"/>
          <w:b/>
          <w:bCs/>
          <w:kern w:val="0"/>
          <w:sz w:val="20"/>
          <w:szCs w:val="20"/>
        </w:rPr>
        <w:t xml:space="preserve">: </w:t>
      </w:r>
      <w:bookmarkStart w:id="3" w:name="_Hlk110428868"/>
      <w:r w:rsidRPr="00BC2F24">
        <w:rPr>
          <w:rFonts w:ascii="Times New Roman" w:eastAsia="宋体" w:hAnsi="Times New Roman" w:cs="Times New Roman"/>
          <w:b/>
          <w:bCs/>
          <w:kern w:val="0"/>
          <w:sz w:val="20"/>
          <w:szCs w:val="20"/>
        </w:rPr>
        <w:t>Mobile attribute of mobile IAB</w:t>
      </w:r>
      <w:r>
        <w:rPr>
          <w:rFonts w:ascii="Times New Roman" w:eastAsia="宋体" w:hAnsi="Times New Roman" w:cs="Times New Roman"/>
          <w:b/>
          <w:bCs/>
          <w:kern w:val="0"/>
          <w:sz w:val="20"/>
          <w:szCs w:val="20"/>
        </w:rPr>
        <w:t>-</w:t>
      </w:r>
      <w:r w:rsidRPr="00BC2F24">
        <w:rPr>
          <w:rFonts w:ascii="Times New Roman" w:eastAsia="宋体" w:hAnsi="Times New Roman" w:cs="Times New Roman"/>
          <w:b/>
          <w:bCs/>
          <w:kern w:val="0"/>
          <w:sz w:val="20"/>
          <w:szCs w:val="20"/>
        </w:rPr>
        <w:t xml:space="preserve">node needs to be exchanged between source IAB-donor and target IAB-donor </w:t>
      </w:r>
      <w:r>
        <w:rPr>
          <w:rFonts w:ascii="Times New Roman" w:eastAsia="宋体" w:hAnsi="Times New Roman" w:cs="Times New Roman"/>
          <w:b/>
          <w:bCs/>
          <w:kern w:val="0"/>
          <w:sz w:val="20"/>
          <w:szCs w:val="20"/>
        </w:rPr>
        <w:t>via</w:t>
      </w:r>
      <w:r w:rsidRPr="00BC2F24">
        <w:rPr>
          <w:rFonts w:ascii="Times New Roman" w:eastAsia="宋体" w:hAnsi="Times New Roman" w:cs="Times New Roman"/>
          <w:b/>
          <w:bCs/>
          <w:kern w:val="0"/>
          <w:sz w:val="20"/>
          <w:szCs w:val="20"/>
        </w:rPr>
        <w:t xml:space="preserve"> </w:t>
      </w:r>
      <w:proofErr w:type="spellStart"/>
      <w:r w:rsidRPr="00BC2F24">
        <w:rPr>
          <w:rFonts w:ascii="Times New Roman" w:eastAsia="宋体" w:hAnsi="Times New Roman" w:cs="Times New Roman"/>
          <w:b/>
          <w:bCs/>
          <w:kern w:val="0"/>
          <w:sz w:val="20"/>
          <w:szCs w:val="20"/>
        </w:rPr>
        <w:t>XnAP</w:t>
      </w:r>
      <w:proofErr w:type="spellEnd"/>
      <w:r w:rsidR="00D72997">
        <w:rPr>
          <w:rFonts w:ascii="Times New Roman" w:eastAsia="宋体" w:hAnsi="Times New Roman" w:cs="Times New Roman"/>
          <w:b/>
          <w:bCs/>
          <w:kern w:val="0"/>
          <w:sz w:val="20"/>
          <w:szCs w:val="20"/>
        </w:rPr>
        <w:t xml:space="preserve"> or NGAP</w:t>
      </w:r>
      <w:r w:rsidRPr="00BC2F24">
        <w:rPr>
          <w:rFonts w:ascii="Times New Roman" w:eastAsia="宋体" w:hAnsi="Times New Roman" w:cs="Times New Roman"/>
          <w:b/>
          <w:bCs/>
          <w:kern w:val="0"/>
          <w:sz w:val="20"/>
          <w:szCs w:val="20"/>
        </w:rPr>
        <w:t xml:space="preserve"> during inter-donor migration procedure</w:t>
      </w:r>
      <w:bookmarkEnd w:id="3"/>
      <w:r w:rsidRPr="00BC2F24">
        <w:rPr>
          <w:rFonts w:ascii="Times New Roman" w:eastAsia="宋体" w:hAnsi="Times New Roman" w:cs="Times New Roman"/>
          <w:b/>
          <w:bCs/>
          <w:kern w:val="0"/>
          <w:sz w:val="20"/>
          <w:szCs w:val="20"/>
        </w:rPr>
        <w:t>.</w:t>
      </w:r>
    </w:p>
    <w:p w14:paraId="224508DA" w14:textId="2AF5A685" w:rsidR="00FF6205" w:rsidRDefault="00FF6205" w:rsidP="00D7299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n the case of mobile IAB-node, the UEs can be classified into onboard UEs and surrounding UEs. For the onboard UEs, it’s better to camp on the cells of mobile IAB-nodes so that the onboard UEs can perform handover accompany with the serving mobile IAB-node. And cells of stationary IAB-node or cells of IAB-donor is prioritized than cells of mobile IAB-node for the surrounding UEs to access. Therefore, stationary IAB-node and</w:t>
      </w:r>
      <w:r w:rsidRPr="00937E2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mobile IAB-node needs to be distinguished from the UE point of view. And the mobile </w:t>
      </w:r>
      <w:r w:rsidRPr="004A5C45">
        <w:rPr>
          <w:rFonts w:ascii="Times New Roman" w:eastAsia="宋体" w:hAnsi="Times New Roman" w:cs="Times New Roman"/>
          <w:kern w:val="0"/>
          <w:sz w:val="20"/>
          <w:szCs w:val="20"/>
        </w:rPr>
        <w:t>attribute of mobile IAB</w:t>
      </w:r>
      <w:r>
        <w:rPr>
          <w:rFonts w:ascii="Times New Roman" w:eastAsia="宋体" w:hAnsi="Times New Roman" w:cs="Times New Roman"/>
          <w:kern w:val="0"/>
          <w:sz w:val="20"/>
          <w:szCs w:val="20"/>
        </w:rPr>
        <w:t>-</w:t>
      </w:r>
      <w:r w:rsidRPr="004A5C45">
        <w:rPr>
          <w:rFonts w:ascii="Times New Roman" w:eastAsia="宋体" w:hAnsi="Times New Roman" w:cs="Times New Roman"/>
          <w:kern w:val="0"/>
          <w:sz w:val="20"/>
          <w:szCs w:val="20"/>
        </w:rPr>
        <w:t>node needs to be broadcast to UEs</w:t>
      </w:r>
      <w:r>
        <w:rPr>
          <w:rFonts w:ascii="Times New Roman" w:eastAsia="宋体" w:hAnsi="Times New Roman" w:cs="Times New Roman"/>
          <w:kern w:val="0"/>
          <w:sz w:val="20"/>
          <w:szCs w:val="20"/>
        </w:rPr>
        <w:t xml:space="preserve"> in </w:t>
      </w:r>
      <w:r w:rsidRPr="004A5C45">
        <w:rPr>
          <w:rFonts w:ascii="Times New Roman" w:eastAsia="宋体" w:hAnsi="Times New Roman" w:cs="Times New Roman"/>
          <w:kern w:val="0"/>
          <w:sz w:val="20"/>
          <w:szCs w:val="20"/>
        </w:rPr>
        <w:t>broadcast information, e.g., SIB1</w:t>
      </w:r>
      <w:r>
        <w:rPr>
          <w:rFonts w:ascii="Times New Roman" w:eastAsia="宋体" w:hAnsi="Times New Roman" w:cs="Times New Roman"/>
          <w:kern w:val="0"/>
          <w:sz w:val="20"/>
          <w:szCs w:val="20"/>
        </w:rPr>
        <w:t>.</w:t>
      </w:r>
    </w:p>
    <w:p w14:paraId="10828750" w14:textId="03CEA266" w:rsidR="006C38B0" w:rsidRPr="00E46C2A" w:rsidRDefault="006C38B0"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46C2A">
        <w:rPr>
          <w:rFonts w:ascii="Times New Roman" w:eastAsia="宋体" w:hAnsi="Times New Roman" w:cs="Times New Roman" w:hint="eastAsia"/>
          <w:b/>
          <w:bCs/>
          <w:kern w:val="0"/>
          <w:sz w:val="20"/>
          <w:szCs w:val="20"/>
        </w:rPr>
        <w:t>P</w:t>
      </w:r>
      <w:r w:rsidRPr="00E46C2A">
        <w:rPr>
          <w:rFonts w:ascii="Times New Roman" w:eastAsia="宋体" w:hAnsi="Times New Roman" w:cs="Times New Roman"/>
          <w:b/>
          <w:bCs/>
          <w:kern w:val="0"/>
          <w:sz w:val="20"/>
          <w:szCs w:val="20"/>
        </w:rPr>
        <w:t xml:space="preserve">roposal 3: </w:t>
      </w:r>
      <w:r w:rsidR="00312351">
        <w:rPr>
          <w:rFonts w:ascii="Times New Roman" w:eastAsia="宋体" w:hAnsi="Times New Roman" w:cs="Times New Roman"/>
          <w:b/>
          <w:bCs/>
          <w:kern w:val="0"/>
          <w:sz w:val="20"/>
          <w:szCs w:val="20"/>
        </w:rPr>
        <w:t>M</w:t>
      </w:r>
      <w:r w:rsidR="00312351" w:rsidRPr="00A72210">
        <w:rPr>
          <w:rFonts w:ascii="Times New Roman" w:eastAsia="宋体" w:hAnsi="Times New Roman" w:cs="Times New Roman"/>
          <w:b/>
          <w:bCs/>
          <w:kern w:val="0"/>
          <w:sz w:val="20"/>
          <w:szCs w:val="20"/>
        </w:rPr>
        <w:t>obile IAB</w:t>
      </w:r>
      <w:r w:rsidR="00312351">
        <w:rPr>
          <w:rFonts w:ascii="Times New Roman" w:eastAsia="宋体" w:hAnsi="Times New Roman" w:cs="Times New Roman"/>
          <w:b/>
          <w:bCs/>
          <w:kern w:val="0"/>
          <w:sz w:val="20"/>
          <w:szCs w:val="20"/>
        </w:rPr>
        <w:t>-</w:t>
      </w:r>
      <w:r w:rsidR="00312351" w:rsidRPr="00A72210">
        <w:rPr>
          <w:rFonts w:ascii="Times New Roman" w:eastAsia="宋体" w:hAnsi="Times New Roman" w:cs="Times New Roman"/>
          <w:b/>
          <w:bCs/>
          <w:kern w:val="0"/>
          <w:sz w:val="20"/>
          <w:szCs w:val="20"/>
        </w:rPr>
        <w:t>node broadcast</w:t>
      </w:r>
      <w:r w:rsidR="00312351">
        <w:rPr>
          <w:rFonts w:ascii="Times New Roman" w:eastAsia="宋体" w:hAnsi="Times New Roman" w:cs="Times New Roman"/>
          <w:b/>
          <w:bCs/>
          <w:kern w:val="0"/>
          <w:sz w:val="20"/>
          <w:szCs w:val="20"/>
        </w:rPr>
        <w:t>s</w:t>
      </w:r>
      <w:r w:rsidR="00312351" w:rsidRPr="00A72210">
        <w:rPr>
          <w:rFonts w:ascii="Times New Roman" w:eastAsia="宋体" w:hAnsi="Times New Roman" w:cs="Times New Roman"/>
          <w:b/>
          <w:bCs/>
          <w:kern w:val="0"/>
          <w:sz w:val="20"/>
          <w:szCs w:val="20"/>
        </w:rPr>
        <w:t xml:space="preserve"> </w:t>
      </w:r>
      <w:r w:rsidR="00312351">
        <w:rPr>
          <w:rFonts w:ascii="Times New Roman" w:eastAsia="宋体" w:hAnsi="Times New Roman" w:cs="Times New Roman"/>
          <w:b/>
          <w:bCs/>
          <w:kern w:val="0"/>
          <w:sz w:val="20"/>
          <w:szCs w:val="20"/>
        </w:rPr>
        <w:t>its m</w:t>
      </w:r>
      <w:r w:rsidR="00312351" w:rsidRPr="00A72210">
        <w:rPr>
          <w:rFonts w:ascii="Times New Roman" w:eastAsia="宋体" w:hAnsi="Times New Roman" w:cs="Times New Roman"/>
          <w:b/>
          <w:bCs/>
          <w:kern w:val="0"/>
          <w:sz w:val="20"/>
          <w:szCs w:val="20"/>
        </w:rPr>
        <w:t>obile attribute to UEs</w:t>
      </w:r>
      <w:r w:rsidR="00312351">
        <w:rPr>
          <w:rFonts w:ascii="Times New Roman" w:eastAsia="宋体" w:hAnsi="Times New Roman" w:cs="Times New Roman"/>
          <w:b/>
          <w:bCs/>
          <w:kern w:val="0"/>
          <w:sz w:val="20"/>
          <w:szCs w:val="20"/>
        </w:rPr>
        <w:t xml:space="preserve">, </w:t>
      </w:r>
      <w:bookmarkStart w:id="4" w:name="_Hlk110845691"/>
      <w:r w:rsidR="00312351">
        <w:rPr>
          <w:rFonts w:ascii="Times New Roman" w:eastAsia="宋体" w:hAnsi="Times New Roman" w:cs="Times New Roman"/>
          <w:b/>
          <w:bCs/>
          <w:kern w:val="0"/>
          <w:sz w:val="20"/>
          <w:szCs w:val="20"/>
        </w:rPr>
        <w:t>e.g., via SIB1</w:t>
      </w:r>
      <w:bookmarkEnd w:id="4"/>
      <w:r w:rsidR="00312351">
        <w:rPr>
          <w:rFonts w:ascii="Times New Roman" w:eastAsia="宋体" w:hAnsi="Times New Roman" w:cs="Times New Roman"/>
          <w:b/>
          <w:bCs/>
          <w:kern w:val="0"/>
          <w:sz w:val="20"/>
          <w:szCs w:val="20"/>
        </w:rPr>
        <w:t>.</w:t>
      </w:r>
    </w:p>
    <w:p w14:paraId="318D8A66" w14:textId="77777777" w:rsidR="00D72997" w:rsidRPr="00592A23" w:rsidRDefault="00D72997" w:rsidP="00D72997">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Differentiation between onboard UEs and surrounding UEs</w:t>
      </w:r>
    </w:p>
    <w:p w14:paraId="1E0331CA" w14:textId="77777777" w:rsidR="00D72997" w:rsidRDefault="00D72997" w:rsidP="00D7299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inter-donor full migration due to mobility of the mobile IAB-node, 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57FA3B8E" w14:textId="4B8DA676" w:rsidR="00D72997" w:rsidRPr="001A1855" w:rsidRDefault="00D72997" w:rsidP="00D72997">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xml:space="preserve">, which means all enhancements related to group mobility are only considered for the onboard UEs. And based on the following </w:t>
      </w:r>
      <w:r w:rsidR="001A1855">
        <w:rPr>
          <w:rFonts w:ascii="Times New Roman" w:eastAsia="宋体" w:hAnsi="Times New Roman" w:cs="Times New Roman"/>
          <w:kern w:val="0"/>
          <w:sz w:val="20"/>
          <w:szCs w:val="20"/>
        </w:rPr>
        <w:t>conclusions</w:t>
      </w:r>
      <w:r>
        <w:rPr>
          <w:rFonts w:ascii="Times New Roman" w:eastAsia="宋体" w:hAnsi="Times New Roman" w:cs="Times New Roman"/>
          <w:kern w:val="0"/>
          <w:sz w:val="20"/>
          <w:szCs w:val="20"/>
        </w:rPr>
        <w:t xml:space="preserve"> in </w:t>
      </w:r>
      <w:r w:rsidR="001A1855">
        <w:rPr>
          <w:rFonts w:ascii="Times New Roman" w:eastAsia="宋体" w:hAnsi="Times New Roman" w:cs="Times New Roman"/>
          <w:kern w:val="0"/>
          <w:sz w:val="20"/>
          <w:szCs w:val="20"/>
        </w:rPr>
        <w:t xml:space="preserve">RAN3 117-e meeting [2] and </w:t>
      </w:r>
      <w:r>
        <w:rPr>
          <w:rFonts w:ascii="Times New Roman" w:eastAsia="宋体" w:hAnsi="Times New Roman" w:cs="Times New Roman"/>
          <w:kern w:val="0"/>
          <w:sz w:val="20"/>
          <w:szCs w:val="20"/>
        </w:rPr>
        <w:t>RAN2 119-e meeting</w:t>
      </w:r>
      <w:r w:rsidR="001A1855">
        <w:rPr>
          <w:rFonts w:ascii="Times New Roman" w:eastAsia="宋体" w:hAnsi="Times New Roman" w:cs="Times New Roman"/>
          <w:kern w:val="0"/>
          <w:sz w:val="20"/>
          <w:szCs w:val="20"/>
        </w:rPr>
        <w:t xml:space="preserve"> [3]</w:t>
      </w:r>
      <w:r>
        <w:rPr>
          <w:rFonts w:ascii="Times New Roman" w:eastAsia="宋体" w:hAnsi="Times New Roman" w:cs="Times New Roman"/>
          <w:kern w:val="0"/>
          <w:sz w:val="20"/>
          <w:szCs w:val="20"/>
        </w:rPr>
        <w:t>. RACH-less handover may be only considered for on-board UEs rather than surrounding UEs.</w:t>
      </w:r>
      <w:r w:rsidR="001A1855">
        <w:rPr>
          <w:rFonts w:ascii="Times New Roman" w:eastAsia="宋体" w:hAnsi="Times New Roman" w:cs="Times New Roman"/>
          <w:kern w:val="0"/>
          <w:sz w:val="20"/>
          <w:szCs w:val="20"/>
        </w:rPr>
        <w:t xml:space="preserve"> Therefore, it’s necessary to differentiate </w:t>
      </w:r>
      <w:r w:rsidR="001A1855" w:rsidRPr="00FC6BB4">
        <w:rPr>
          <w:rFonts w:ascii="Times New Roman" w:eastAsia="宋体" w:hAnsi="Times New Roman" w:cs="Times New Roman"/>
          <w:kern w:val="0"/>
          <w:sz w:val="20"/>
          <w:szCs w:val="20"/>
        </w:rPr>
        <w:t xml:space="preserve">onboard UEs and surrounding UEs for </w:t>
      </w:r>
      <w:r w:rsidR="001A1855">
        <w:rPr>
          <w:rFonts w:ascii="Times New Roman" w:eastAsia="宋体" w:hAnsi="Times New Roman" w:cs="Times New Roman"/>
          <w:kern w:val="0"/>
          <w:sz w:val="20"/>
          <w:szCs w:val="20"/>
        </w:rPr>
        <w:t>IAB-donor.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0"/>
      </w:tblGrid>
      <w:tr w:rsidR="00D72997" w14:paraId="5EA6E94D" w14:textId="77777777" w:rsidTr="00421130">
        <w:trPr>
          <w:trHeight w:val="420"/>
        </w:trPr>
        <w:tc>
          <w:tcPr>
            <w:tcW w:w="9600" w:type="dxa"/>
          </w:tcPr>
          <w:p w14:paraId="1245A64C" w14:textId="1B2C0109" w:rsidR="001A1855" w:rsidRPr="001A1855" w:rsidRDefault="001A1855" w:rsidP="001A1855">
            <w:pPr>
              <w:pStyle w:val="Agreement"/>
              <w:numPr>
                <w:ilvl w:val="0"/>
                <w:numId w:val="0"/>
              </w:numPr>
              <w:ind w:left="359" w:hanging="359"/>
              <w:rPr>
                <w:rFonts w:ascii="Times New Roman" w:eastAsia="宋体" w:hAnsi="Times New Roman"/>
                <w:b w:val="0"/>
                <w:szCs w:val="20"/>
                <w:lang w:val="en-US" w:eastAsia="zh-CN"/>
              </w:rPr>
            </w:pPr>
            <w:r w:rsidRPr="001A1855">
              <w:rPr>
                <w:rFonts w:ascii="Times New Roman" w:eastAsia="宋体" w:hAnsi="Times New Roman" w:hint="eastAsia"/>
                <w:b w:val="0"/>
                <w:szCs w:val="20"/>
                <w:lang w:val="en-US" w:eastAsia="zh-CN"/>
              </w:rPr>
              <w:t>R</w:t>
            </w:r>
            <w:r w:rsidRPr="001A1855">
              <w:rPr>
                <w:rFonts w:ascii="Times New Roman" w:eastAsia="宋体" w:hAnsi="Times New Roman"/>
                <w:b w:val="0"/>
                <w:szCs w:val="20"/>
                <w:lang w:val="en-US" w:eastAsia="zh-CN"/>
              </w:rPr>
              <w:t>AN2 119-e:</w:t>
            </w:r>
          </w:p>
          <w:p w14:paraId="3D5CED9E" w14:textId="23B28283" w:rsidR="00D72997" w:rsidRDefault="00D72997" w:rsidP="00421130">
            <w:pPr>
              <w:pStyle w:val="Agreement"/>
              <w:tabs>
                <w:tab w:val="clear" w:pos="359"/>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7C5D37F8" w14:textId="061661CC" w:rsidR="001A1855" w:rsidRPr="001A1855" w:rsidRDefault="001A1855" w:rsidP="001A1855">
            <w:pPr>
              <w:pStyle w:val="Agreement"/>
              <w:numPr>
                <w:ilvl w:val="0"/>
                <w:numId w:val="0"/>
              </w:numPr>
              <w:ind w:left="359" w:hanging="359"/>
              <w:rPr>
                <w:rFonts w:ascii="Times New Roman" w:eastAsia="宋体" w:hAnsi="Times New Roman"/>
                <w:b w:val="0"/>
                <w:szCs w:val="20"/>
                <w:lang w:val="en-US" w:eastAsia="zh-CN"/>
              </w:rPr>
            </w:pPr>
            <w:r w:rsidRPr="001A1855">
              <w:rPr>
                <w:rFonts w:ascii="Times New Roman" w:eastAsia="宋体" w:hAnsi="Times New Roman" w:hint="eastAsia"/>
                <w:b w:val="0"/>
                <w:szCs w:val="20"/>
                <w:lang w:val="en-US" w:eastAsia="zh-CN"/>
              </w:rPr>
              <w:t>R</w:t>
            </w:r>
            <w:r w:rsidRPr="001A1855">
              <w:rPr>
                <w:rFonts w:ascii="Times New Roman" w:eastAsia="宋体" w:hAnsi="Times New Roman"/>
                <w:b w:val="0"/>
                <w:szCs w:val="20"/>
                <w:lang w:val="en-US" w:eastAsia="zh-CN"/>
              </w:rPr>
              <w:t>AN3 117-e:</w:t>
            </w:r>
          </w:p>
          <w:p w14:paraId="1F3932A3" w14:textId="77777777" w:rsidR="001A1855" w:rsidRDefault="001A1855" w:rsidP="001A1855">
            <w:pPr>
              <w:ind w:left="144" w:hanging="144"/>
              <w:rPr>
                <w:rFonts w:ascii="Calibri" w:hAnsi="Calibri" w:cs="Calibri"/>
                <w:b/>
                <w:bCs/>
                <w:color w:val="FF0000"/>
                <w:sz w:val="18"/>
                <w:szCs w:val="18"/>
                <w:lang w:eastAsia="en-US"/>
              </w:rPr>
            </w:pPr>
            <w:r w:rsidRPr="00C16664">
              <w:rPr>
                <w:rFonts w:ascii="Calibri" w:hAnsi="Calibri" w:cs="Calibri"/>
                <w:b/>
                <w:bCs/>
                <w:color w:val="FF0000"/>
                <w:sz w:val="18"/>
                <w:szCs w:val="18"/>
                <w:lang w:eastAsia="en-US"/>
              </w:rPr>
              <w:t xml:space="preserve">The focus of the mobility procedures enhancements is “on-board” UEs. </w:t>
            </w:r>
          </w:p>
          <w:p w14:paraId="70584F55" w14:textId="77777777" w:rsidR="001A1855" w:rsidRPr="0034409C" w:rsidRDefault="001A1855" w:rsidP="001A1855">
            <w:pPr>
              <w:ind w:left="144" w:hanging="144"/>
              <w:rPr>
                <w:rFonts w:ascii="Calibri" w:hAnsi="Calibri" w:cs="Calibri"/>
                <w:b/>
                <w:bCs/>
                <w:color w:val="0000FF"/>
                <w:sz w:val="18"/>
                <w:szCs w:val="18"/>
                <w:lang w:eastAsia="en-US"/>
              </w:rPr>
            </w:pPr>
            <w:r w:rsidRPr="0034409C">
              <w:rPr>
                <w:rFonts w:ascii="Calibri" w:hAnsi="Calibri" w:cs="Calibri"/>
                <w:b/>
                <w:bCs/>
                <w:color w:val="0000FF"/>
                <w:sz w:val="18"/>
                <w:szCs w:val="18"/>
                <w:lang w:eastAsia="en-US"/>
              </w:rPr>
              <w:t>It is FFS whether the network can identify on-board UEs or surrounding UEs</w:t>
            </w:r>
          </w:p>
          <w:p w14:paraId="35CB9885" w14:textId="400AA914" w:rsidR="001A1855" w:rsidRPr="001A1855" w:rsidRDefault="001A1855" w:rsidP="001A1855">
            <w:pPr>
              <w:ind w:left="144" w:hanging="144"/>
              <w:rPr>
                <w:rFonts w:ascii="Calibri" w:hAnsi="Calibri" w:cs="Calibri"/>
                <w:b/>
                <w:color w:val="008000"/>
                <w:sz w:val="18"/>
                <w:szCs w:val="18"/>
                <w:lang w:eastAsia="en-US"/>
              </w:rPr>
            </w:pPr>
            <w:r w:rsidRPr="0034409C">
              <w:rPr>
                <w:rFonts w:ascii="Calibri" w:hAnsi="Calibri" w:cs="Calibri"/>
                <w:b/>
                <w:color w:val="008000"/>
                <w:sz w:val="18"/>
                <w:szCs w:val="18"/>
                <w:lang w:eastAsia="en-US"/>
              </w:rPr>
              <w:t>RAN3 to discuss whether to support means to identify onboard UEs.</w:t>
            </w:r>
          </w:p>
        </w:tc>
      </w:tr>
    </w:tbl>
    <w:p w14:paraId="76050BA0" w14:textId="7E28E561" w:rsidR="00D72997" w:rsidRPr="00882390" w:rsidRDefault="00D72997" w:rsidP="00D7299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sidR="001A1855">
        <w:rPr>
          <w:rFonts w:ascii="Times New Roman" w:eastAsia="宋体" w:hAnsi="Times New Roman" w:cs="Times New Roman"/>
          <w:b/>
          <w:bCs/>
          <w:kern w:val="0"/>
          <w:sz w:val="20"/>
          <w:szCs w:val="20"/>
        </w:rPr>
        <w:t>4</w:t>
      </w:r>
      <w:r w:rsidRPr="00882390">
        <w:rPr>
          <w:rFonts w:ascii="Times New Roman" w:eastAsia="宋体" w:hAnsi="Times New Roman" w:cs="Times New Roman"/>
          <w:b/>
          <w:bCs/>
          <w:kern w:val="0"/>
          <w:sz w:val="20"/>
          <w:szCs w:val="20"/>
        </w:rPr>
        <w:t xml:space="preserve">: </w:t>
      </w:r>
      <w:r w:rsidR="001A1855">
        <w:rPr>
          <w:rFonts w:ascii="Times New Roman" w:eastAsia="宋体" w:hAnsi="Times New Roman" w:cs="Times New Roman"/>
          <w:b/>
          <w:bCs/>
          <w:kern w:val="0"/>
          <w:sz w:val="20"/>
          <w:szCs w:val="20"/>
        </w:rPr>
        <w:t>T</w:t>
      </w:r>
      <w:r>
        <w:rPr>
          <w:rFonts w:ascii="Times New Roman" w:eastAsia="宋体" w:hAnsi="Times New Roman" w:cs="Times New Roman"/>
          <w:b/>
          <w:bCs/>
          <w:kern w:val="0"/>
          <w:sz w:val="20"/>
          <w:szCs w:val="20"/>
        </w:rPr>
        <w:t>o d</w:t>
      </w:r>
      <w:r w:rsidRPr="00882390">
        <w:rPr>
          <w:rFonts w:ascii="Times New Roman" w:eastAsia="宋体" w:hAnsi="Times New Roman" w:cs="Times New Roman"/>
          <w:b/>
          <w:bCs/>
          <w:kern w:val="0"/>
          <w:sz w:val="20"/>
          <w:szCs w:val="20"/>
        </w:rPr>
        <w:t xml:space="preserve">ifferentiate onboard UEs and surrounding UEs </w:t>
      </w:r>
      <w:r w:rsidR="00AE371C">
        <w:rPr>
          <w:rFonts w:ascii="Times New Roman" w:eastAsia="宋体" w:hAnsi="Times New Roman" w:cs="Times New Roman"/>
          <w:b/>
          <w:bCs/>
          <w:kern w:val="0"/>
          <w:sz w:val="20"/>
          <w:szCs w:val="20"/>
        </w:rPr>
        <w:t>of</w:t>
      </w:r>
      <w:r w:rsidRPr="00882390">
        <w:rPr>
          <w:rFonts w:ascii="Times New Roman" w:eastAsia="宋体" w:hAnsi="Times New Roman" w:cs="Times New Roman"/>
          <w:b/>
          <w:bCs/>
          <w:kern w:val="0"/>
          <w:sz w:val="20"/>
          <w:szCs w:val="20"/>
        </w:rPr>
        <w:t xml:space="preserve"> mobile IAB-node</w:t>
      </w:r>
      <w:r w:rsidR="001A1855">
        <w:rPr>
          <w:rFonts w:ascii="Times New Roman" w:eastAsia="宋体" w:hAnsi="Times New Roman" w:cs="Times New Roman"/>
          <w:b/>
          <w:bCs/>
          <w:kern w:val="0"/>
          <w:sz w:val="20"/>
          <w:szCs w:val="20"/>
        </w:rPr>
        <w:t xml:space="preserve"> for IAB-donor</w:t>
      </w:r>
      <w:r w:rsidRPr="00882390">
        <w:rPr>
          <w:rFonts w:ascii="Times New Roman" w:eastAsia="宋体" w:hAnsi="Times New Roman" w:cs="Times New Roman"/>
          <w:b/>
          <w:bCs/>
          <w:kern w:val="0"/>
          <w:sz w:val="20"/>
          <w:szCs w:val="20"/>
        </w:rPr>
        <w:t>.</w:t>
      </w:r>
    </w:p>
    <w:p w14:paraId="0E82DCB8" w14:textId="77777777" w:rsidR="00FF6205" w:rsidRPr="00592A23" w:rsidRDefault="00FF6205" w:rsidP="00FF6205">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w:t>
      </w:r>
      <w:r w:rsidRPr="00576785">
        <w:rPr>
          <w:rFonts w:ascii="Times New Roman" w:eastAsia="宋体" w:hAnsi="Times New Roman" w:cs="Times New Roman"/>
          <w:b/>
          <w:bCs/>
          <w:kern w:val="0"/>
          <w:sz w:val="22"/>
          <w:u w:val="single"/>
        </w:rPr>
        <w:t xml:space="preserve">obility of </w:t>
      </w:r>
      <w:r>
        <w:rPr>
          <w:rFonts w:ascii="Times New Roman" w:eastAsia="宋体" w:hAnsi="Times New Roman" w:cs="Times New Roman"/>
          <w:b/>
          <w:bCs/>
          <w:kern w:val="0"/>
          <w:sz w:val="22"/>
          <w:u w:val="single"/>
        </w:rPr>
        <w:t xml:space="preserve">mobile </w:t>
      </w:r>
      <w:r w:rsidRPr="00576785">
        <w:rPr>
          <w:rFonts w:ascii="Times New Roman" w:eastAsia="宋体" w:hAnsi="Times New Roman" w:cs="Times New Roman"/>
          <w:b/>
          <w:bCs/>
          <w:kern w:val="0"/>
          <w:sz w:val="22"/>
          <w:u w:val="single"/>
        </w:rPr>
        <w:t xml:space="preserve">IAB-node together with </w:t>
      </w:r>
      <w:proofErr w:type="gramStart"/>
      <w:r w:rsidRPr="00576785">
        <w:rPr>
          <w:rFonts w:ascii="Times New Roman" w:eastAsia="宋体" w:hAnsi="Times New Roman" w:cs="Times New Roman"/>
          <w:b/>
          <w:bCs/>
          <w:kern w:val="0"/>
          <w:sz w:val="22"/>
          <w:u w:val="single"/>
        </w:rPr>
        <w:t>its</w:t>
      </w:r>
      <w:proofErr w:type="gramEnd"/>
      <w:r w:rsidRPr="00576785">
        <w:rPr>
          <w:rFonts w:ascii="Times New Roman" w:eastAsia="宋体" w:hAnsi="Times New Roman" w:cs="Times New Roman"/>
          <w:b/>
          <w:bCs/>
          <w:kern w:val="0"/>
          <w:sz w:val="22"/>
          <w:u w:val="single"/>
        </w:rPr>
        <w:t xml:space="preserve"> served UEs</w:t>
      </w:r>
    </w:p>
    <w:p w14:paraId="4D5A37F0" w14:textId="77777777" w:rsidR="00FF6205" w:rsidRDefault="00FF6205" w:rsidP="00FF6205">
      <w:pPr>
        <w:widowControl/>
        <w:overflowPunct w:val="0"/>
        <w:autoSpaceDE w:val="0"/>
        <w:autoSpaceDN w:val="0"/>
        <w:adjustRightInd w:val="0"/>
        <w:spacing w:after="120"/>
        <w:jc w:val="center"/>
        <w:textAlignment w:val="baseline"/>
      </w:pPr>
      <w:r>
        <w:object w:dxaOrig="5301" w:dyaOrig="3931" w14:anchorId="4D479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7" o:title=""/>
          </v:shape>
          <o:OLEObject Type="Embed" ProgID="Visio.Drawing.15" ShapeID="_x0000_i1025" DrawAspect="Content" ObjectID="_1725862578" r:id="rId8"/>
        </w:object>
      </w:r>
    </w:p>
    <w:p w14:paraId="1920DBC4" w14:textId="77777777" w:rsidR="00FF6205" w:rsidRPr="005750E7" w:rsidRDefault="00FF6205" w:rsidP="00FF6205">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1C9B9F0F" w14:textId="5B148C01"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shown in Figure 1, the IAB-MT of mobile IAB-node migrates from source IAB-donor1 to target IAB-donor2, and the mobile IAB-node has two logical IAB-DUs that IAB-DU1 </w:t>
      </w:r>
      <w:r w:rsidR="00BC28F3">
        <w:rPr>
          <w:rFonts w:ascii="Times New Roman" w:eastAsia="宋体" w:hAnsi="Times New Roman" w:cs="Times New Roman"/>
          <w:kern w:val="0"/>
          <w:sz w:val="20"/>
          <w:szCs w:val="20"/>
        </w:rPr>
        <w:t xml:space="preserve">terminated </w:t>
      </w:r>
      <w:r>
        <w:rPr>
          <w:rFonts w:ascii="Times New Roman" w:eastAsia="宋体" w:hAnsi="Times New Roman" w:cs="Times New Roman"/>
          <w:kern w:val="0"/>
          <w:sz w:val="20"/>
          <w:szCs w:val="20"/>
        </w:rPr>
        <w:t xml:space="preserve">at IAB-donor-CU1 and IAB-DU2 </w:t>
      </w:r>
      <w:r w:rsidR="00BC28F3">
        <w:rPr>
          <w:rFonts w:ascii="Times New Roman" w:eastAsia="宋体" w:hAnsi="Times New Roman" w:cs="Times New Roman"/>
          <w:kern w:val="0"/>
          <w:sz w:val="20"/>
          <w:szCs w:val="20"/>
        </w:rPr>
        <w:t xml:space="preserve">terminated </w:t>
      </w:r>
      <w:r>
        <w:rPr>
          <w:rFonts w:ascii="Times New Roman" w:eastAsia="宋体" w:hAnsi="Times New Roman" w:cs="Times New Roman"/>
          <w:kern w:val="0"/>
          <w:sz w:val="20"/>
          <w:szCs w:val="20"/>
        </w:rPr>
        <w:t>at IAB-donor-CU2. As for a served UE of the mobile IAB-node, it performs migration from IAB-DU1 to IAB-DU2.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103F6F" w14:paraId="70B72B3F" w14:textId="77777777" w:rsidTr="00103F6F">
        <w:trPr>
          <w:trHeight w:val="340"/>
        </w:trPr>
        <w:tc>
          <w:tcPr>
            <w:tcW w:w="9630" w:type="dxa"/>
          </w:tcPr>
          <w:p w14:paraId="3045616C" w14:textId="038298CF" w:rsidR="00103F6F" w:rsidRDefault="00103F6F"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Calibri" w:hAnsi="Calibri" w:cs="Calibri"/>
                <w:b/>
                <w:bCs/>
                <w:color w:val="008000"/>
                <w:sz w:val="18"/>
                <w:szCs w:val="18"/>
              </w:rPr>
              <w:t xml:space="preserve">For group mobility enhancement, RAN3 to discuss the benefit and whether to support signaling of information related to multiple UE contexts in a single message, during </w:t>
            </w:r>
            <w:proofErr w:type="gramStart"/>
            <w:r>
              <w:rPr>
                <w:rFonts w:ascii="Calibri" w:hAnsi="Calibri" w:cs="Calibri"/>
                <w:b/>
                <w:bCs/>
                <w:color w:val="008000"/>
                <w:sz w:val="18"/>
                <w:szCs w:val="18"/>
              </w:rPr>
              <w:t>e.g.</w:t>
            </w:r>
            <w:proofErr w:type="gramEnd"/>
            <w:r>
              <w:rPr>
                <w:rFonts w:ascii="Calibri" w:hAnsi="Calibri" w:cs="Calibri"/>
                <w:b/>
                <w:bCs/>
                <w:color w:val="008000"/>
                <w:sz w:val="18"/>
                <w:szCs w:val="18"/>
              </w:rPr>
              <w:t xml:space="preserve"> the handover preparation, path switch, and context release procedures.</w:t>
            </w:r>
          </w:p>
        </w:tc>
      </w:tr>
    </w:tbl>
    <w:p w14:paraId="5A00F203" w14:textId="1AAEEC22" w:rsidR="00103F6F" w:rsidRDefault="00BD4F43"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legacy handover procedure, gNB triggers handover for each individual UE based on the measurement report and sends the Handover Request to target gNB with the information of target cell ID. And the target gNB performs admission control for the according UE. For the mobile IAB-node mobility scenario, a mass of UEs need to perform handover from source IAB-donor to target IAB-donor within a short </w:t>
      </w:r>
      <w:proofErr w:type="gramStart"/>
      <w:r>
        <w:rPr>
          <w:rFonts w:ascii="Times New Roman" w:eastAsia="宋体" w:hAnsi="Times New Roman" w:cs="Times New Roman"/>
          <w:kern w:val="0"/>
          <w:sz w:val="20"/>
          <w:szCs w:val="20"/>
        </w:rPr>
        <w:t>time period</w:t>
      </w:r>
      <w:proofErr w:type="gramEnd"/>
      <w:r>
        <w:rPr>
          <w:rFonts w:ascii="Times New Roman" w:eastAsia="宋体" w:hAnsi="Times New Roman" w:cs="Times New Roman"/>
          <w:kern w:val="0"/>
          <w:sz w:val="20"/>
          <w:szCs w:val="20"/>
        </w:rPr>
        <w:t>. Bu</w:t>
      </w:r>
      <w:r w:rsidR="00F5031F">
        <w:rPr>
          <w:rFonts w:ascii="Times New Roman" w:eastAsia="宋体" w:hAnsi="Times New Roman" w:cs="Times New Roman"/>
          <w:kern w:val="0"/>
          <w:sz w:val="20"/>
          <w:szCs w:val="20"/>
        </w:rPr>
        <w:t>n</w:t>
      </w:r>
      <w:r>
        <w:rPr>
          <w:rFonts w:ascii="Times New Roman" w:eastAsia="宋体" w:hAnsi="Times New Roman" w:cs="Times New Roman"/>
          <w:kern w:val="0"/>
          <w:sz w:val="20"/>
          <w:szCs w:val="20"/>
        </w:rPr>
        <w:t>d</w:t>
      </w:r>
      <w:r w:rsidR="00F5031F">
        <w:rPr>
          <w:rFonts w:ascii="Times New Roman" w:eastAsia="宋体" w:hAnsi="Times New Roman" w:cs="Times New Roman"/>
          <w:kern w:val="0"/>
          <w:sz w:val="20"/>
          <w:szCs w:val="20"/>
        </w:rPr>
        <w:t>l</w:t>
      </w:r>
      <w:r>
        <w:rPr>
          <w:rFonts w:ascii="Times New Roman" w:eastAsia="宋体" w:hAnsi="Times New Roman" w:cs="Times New Roman"/>
          <w:kern w:val="0"/>
          <w:sz w:val="20"/>
          <w:szCs w:val="20"/>
        </w:rPr>
        <w:t>ing all the UE in a handover procedure has the advantage for the target IAB-donor to perform admission control for all handover UEs.</w:t>
      </w:r>
      <w:r w:rsidR="000358DE">
        <w:rPr>
          <w:rFonts w:ascii="Times New Roman" w:eastAsia="宋体" w:hAnsi="Times New Roman" w:cs="Times New Roman"/>
          <w:kern w:val="0"/>
          <w:sz w:val="20"/>
          <w:szCs w:val="20"/>
        </w:rPr>
        <w:t xml:space="preserve"> And it’s beneficial for the target </w:t>
      </w:r>
      <w:r w:rsidR="000358DE">
        <w:rPr>
          <w:rFonts w:ascii="Times New Roman" w:eastAsia="宋体" w:hAnsi="Times New Roman" w:cs="Times New Roman"/>
          <w:kern w:val="0"/>
          <w:sz w:val="20"/>
          <w:szCs w:val="20"/>
        </w:rPr>
        <w:lastRenderedPageBreak/>
        <w:t>IAB-donor to configure the BH BAP configuration in the target path for all handover UEs rather than for each individual UE.</w:t>
      </w:r>
    </w:p>
    <w:p w14:paraId="43A5873B" w14:textId="1BC32DD0" w:rsidR="00CB6749" w:rsidRPr="00CB6749" w:rsidRDefault="00CB6749"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B6749">
        <w:rPr>
          <w:rFonts w:ascii="Times New Roman" w:eastAsia="宋体" w:hAnsi="Times New Roman" w:cs="Times New Roman" w:hint="eastAsia"/>
          <w:b/>
          <w:bCs/>
          <w:kern w:val="0"/>
          <w:sz w:val="20"/>
          <w:szCs w:val="20"/>
        </w:rPr>
        <w:t>O</w:t>
      </w:r>
      <w:r w:rsidRPr="00CB6749">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G</w:t>
      </w:r>
      <w:r w:rsidRPr="00CB6749">
        <w:rPr>
          <w:rFonts w:ascii="Times New Roman" w:eastAsia="宋体" w:hAnsi="Times New Roman" w:cs="Times New Roman"/>
          <w:b/>
          <w:bCs/>
          <w:kern w:val="0"/>
          <w:sz w:val="20"/>
          <w:szCs w:val="20"/>
        </w:rPr>
        <w:t>roup mobility for all onboard connected UEs of the mobile IAB-node is beneficial for admission control and BH configuration for the target IAB-donor.</w:t>
      </w:r>
    </w:p>
    <w:p w14:paraId="294C4DED" w14:textId="77777777" w:rsidR="00CB6749"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group mobility, message for handover </w:t>
      </w:r>
      <w:r w:rsidR="00CB6749">
        <w:rPr>
          <w:rFonts w:ascii="Times New Roman" w:eastAsia="宋体" w:hAnsi="Times New Roman" w:cs="Times New Roman"/>
          <w:kern w:val="0"/>
          <w:sz w:val="20"/>
          <w:szCs w:val="20"/>
        </w:rPr>
        <w:t>all onboard connected</w:t>
      </w:r>
      <w:r>
        <w:rPr>
          <w:rFonts w:ascii="Times New Roman" w:eastAsia="宋体" w:hAnsi="Times New Roman" w:cs="Times New Roman"/>
          <w:kern w:val="0"/>
          <w:sz w:val="20"/>
          <w:szCs w:val="20"/>
        </w:rPr>
        <w:t xml:space="preserve"> UEs can be bundled together in XnAP. For example, a </w:t>
      </w:r>
      <w:r w:rsidR="00C11C51">
        <w:rPr>
          <w:rFonts w:ascii="Times New Roman" w:eastAsia="宋体" w:hAnsi="Times New Roman" w:cs="Times New Roman"/>
          <w:kern w:val="0"/>
          <w:sz w:val="20"/>
          <w:szCs w:val="20"/>
        </w:rPr>
        <w:t xml:space="preserve">group-based </w:t>
      </w:r>
      <w:r>
        <w:rPr>
          <w:rFonts w:ascii="Times New Roman" w:eastAsia="宋体" w:hAnsi="Times New Roman" w:cs="Times New Roman"/>
          <w:kern w:val="0"/>
          <w:sz w:val="20"/>
          <w:szCs w:val="20"/>
        </w:rPr>
        <w:t xml:space="preserve">Handover Request and Handover Request Acknowledge are used for all </w:t>
      </w:r>
      <w:r w:rsidR="00CB6749">
        <w:rPr>
          <w:rFonts w:ascii="Times New Roman" w:eastAsia="宋体" w:hAnsi="Times New Roman" w:cs="Times New Roman"/>
          <w:kern w:val="0"/>
          <w:sz w:val="20"/>
          <w:szCs w:val="20"/>
        </w:rPr>
        <w:t>onboard connected</w:t>
      </w:r>
      <w:r>
        <w:rPr>
          <w:rFonts w:ascii="Times New Roman" w:eastAsia="宋体" w:hAnsi="Times New Roman" w:cs="Times New Roman"/>
          <w:kern w:val="0"/>
          <w:sz w:val="20"/>
          <w:szCs w:val="20"/>
        </w:rPr>
        <w:t xml:space="preserve"> UEs. </w:t>
      </w:r>
    </w:p>
    <w:p w14:paraId="72825CE6" w14:textId="3F39BE41" w:rsidR="00FF6205" w:rsidRPr="00CB6749" w:rsidRDefault="00CB6749"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w:t>
      </w:r>
      <w:r>
        <w:rPr>
          <w:rFonts w:ascii="Times New Roman" w:eastAsia="宋体" w:hAnsi="Times New Roman" w:cs="Times New Roman"/>
          <w:kern w:val="0"/>
          <w:sz w:val="20"/>
          <w:szCs w:val="20"/>
        </w:rPr>
        <w:t xml:space="preserve"> all onboard connected UEs, target IAB-donor-CU shall perform UE context setup for each UE with the target IAB-DU2. To simplify the procedure, the UE context setup for all onboard connected UEs may be bundled together in one F1AP procedure. For example, a group-based, non-UE associated F1AP procedure is introduced between IAB-donor-CU and IAB-DU for UE context setup for all onboard connected UEs of mobile IAB-node. </w:t>
      </w:r>
    </w:p>
    <w:p w14:paraId="0E32DDD7" w14:textId="55043BB4" w:rsidR="00FF6205" w:rsidRDefault="00FF6205"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sidR="00300908">
        <w:rPr>
          <w:rFonts w:ascii="Times New Roman" w:eastAsia="宋体" w:hAnsi="Times New Roman" w:cs="Times New Roman"/>
          <w:b/>
          <w:bCs/>
          <w:kern w:val="0"/>
          <w:sz w:val="20"/>
          <w:szCs w:val="20"/>
        </w:rPr>
        <w:t>5</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sidR="00FA00C8">
        <w:rPr>
          <w:rFonts w:ascii="Times New Roman" w:eastAsia="宋体" w:hAnsi="Times New Roman" w:cs="Times New Roman"/>
          <w:b/>
          <w:bCs/>
          <w:kern w:val="0"/>
          <w:sz w:val="20"/>
          <w:szCs w:val="20"/>
        </w:rPr>
        <w:t>group-based</w:t>
      </w:r>
      <w:r w:rsidR="00FA00C8" w:rsidRPr="00E13436">
        <w:rPr>
          <w:rFonts w:ascii="Times New Roman" w:eastAsia="宋体" w:hAnsi="Times New Roman" w:cs="Times New Roman"/>
          <w:b/>
          <w:bCs/>
          <w:kern w:val="0"/>
          <w:sz w:val="20"/>
          <w:szCs w:val="20"/>
        </w:rPr>
        <w:t xml:space="preserve"> </w:t>
      </w:r>
      <w:r w:rsidRPr="00E13436">
        <w:rPr>
          <w:rFonts w:ascii="Times New Roman" w:eastAsia="宋体" w:hAnsi="Times New Roman" w:cs="Times New Roman"/>
          <w:b/>
          <w:bCs/>
          <w:kern w:val="0"/>
          <w:sz w:val="20"/>
          <w:szCs w:val="20"/>
        </w:rPr>
        <w:t xml:space="preserve">Handover Request and Handover Request Acknowledge are used for all </w:t>
      </w:r>
      <w:r w:rsidR="00CB6749" w:rsidRPr="00CB6749">
        <w:rPr>
          <w:rFonts w:ascii="Times New Roman" w:eastAsia="宋体" w:hAnsi="Times New Roman" w:cs="Times New Roman"/>
          <w:b/>
          <w:bCs/>
          <w:kern w:val="0"/>
          <w:sz w:val="20"/>
          <w:szCs w:val="20"/>
        </w:rPr>
        <w:t xml:space="preserve">onboard connected </w:t>
      </w:r>
      <w:r w:rsidRPr="00E13436">
        <w:rPr>
          <w:rFonts w:ascii="Times New Roman" w:eastAsia="宋体" w:hAnsi="Times New Roman" w:cs="Times New Roman"/>
          <w:b/>
          <w:bCs/>
          <w:kern w:val="0"/>
          <w:sz w:val="20"/>
          <w:szCs w:val="20"/>
        </w:rPr>
        <w:t>UEs</w:t>
      </w:r>
      <w:r w:rsidR="00EE7EFE">
        <w:rPr>
          <w:rFonts w:ascii="Times New Roman" w:eastAsia="宋体" w:hAnsi="Times New Roman" w:cs="Times New Roman"/>
          <w:b/>
          <w:bCs/>
          <w:kern w:val="0"/>
          <w:sz w:val="20"/>
          <w:szCs w:val="20"/>
        </w:rPr>
        <w:t xml:space="preserve"> of mobile IAB-node</w:t>
      </w:r>
      <w:r w:rsidRPr="00E13436">
        <w:rPr>
          <w:rFonts w:ascii="Times New Roman" w:eastAsia="宋体" w:hAnsi="Times New Roman" w:cs="Times New Roman"/>
          <w:b/>
          <w:bCs/>
          <w:kern w:val="0"/>
          <w:sz w:val="20"/>
          <w:szCs w:val="20"/>
        </w:rPr>
        <w:t>.</w:t>
      </w:r>
    </w:p>
    <w:p w14:paraId="6D29850D" w14:textId="5E9BF474" w:rsidR="00D76857" w:rsidRPr="00E13436" w:rsidRDefault="00D76857" w:rsidP="00FF620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w:t>
      </w:r>
      <w:r w:rsidR="00300908">
        <w:rPr>
          <w:rFonts w:ascii="Times New Roman" w:eastAsia="宋体" w:hAnsi="Times New Roman" w:cs="Times New Roman"/>
          <w:b/>
          <w:bCs/>
          <w:kern w:val="0"/>
          <w:sz w:val="20"/>
          <w:szCs w:val="20"/>
        </w:rPr>
        <w:t>o</w:t>
      </w:r>
      <w:r>
        <w:rPr>
          <w:rFonts w:ascii="Times New Roman" w:eastAsia="宋体" w:hAnsi="Times New Roman" w:cs="Times New Roman"/>
          <w:b/>
          <w:bCs/>
          <w:kern w:val="0"/>
          <w:sz w:val="20"/>
          <w:szCs w:val="20"/>
        </w:rPr>
        <w:t xml:space="preserve">sal </w:t>
      </w:r>
      <w:r w:rsidR="00300908">
        <w:rPr>
          <w:rFonts w:ascii="Times New Roman" w:eastAsia="宋体" w:hAnsi="Times New Roman" w:cs="Times New Roman"/>
          <w:b/>
          <w:bCs/>
          <w:kern w:val="0"/>
          <w:sz w:val="20"/>
          <w:szCs w:val="20"/>
        </w:rPr>
        <w:t>6: For group mobility,</w:t>
      </w:r>
      <w:r w:rsidR="00785418">
        <w:rPr>
          <w:rFonts w:ascii="Times New Roman" w:eastAsia="宋体" w:hAnsi="Times New Roman" w:cs="Times New Roman"/>
          <w:b/>
          <w:bCs/>
          <w:kern w:val="0"/>
          <w:sz w:val="20"/>
          <w:szCs w:val="20"/>
        </w:rPr>
        <w:t xml:space="preserve"> RAN3</w:t>
      </w:r>
      <w:r w:rsidR="00300908">
        <w:rPr>
          <w:rFonts w:ascii="Times New Roman" w:eastAsia="宋体" w:hAnsi="Times New Roman" w:cs="Times New Roman"/>
          <w:b/>
          <w:bCs/>
          <w:kern w:val="0"/>
          <w:sz w:val="20"/>
          <w:szCs w:val="20"/>
        </w:rPr>
        <w:t xml:space="preserve"> </w:t>
      </w:r>
      <w:r w:rsidR="00785418">
        <w:rPr>
          <w:rFonts w:ascii="Times New Roman" w:eastAsia="宋体" w:hAnsi="Times New Roman" w:cs="Times New Roman"/>
          <w:b/>
          <w:bCs/>
          <w:kern w:val="0"/>
          <w:sz w:val="20"/>
          <w:szCs w:val="20"/>
        </w:rPr>
        <w:t>defines a new non-UE associated F1AP procedure</w:t>
      </w:r>
      <w:r w:rsidR="00300908">
        <w:rPr>
          <w:rFonts w:ascii="Times New Roman" w:eastAsia="宋体" w:hAnsi="Times New Roman" w:cs="Times New Roman"/>
          <w:b/>
          <w:bCs/>
          <w:kern w:val="0"/>
          <w:sz w:val="20"/>
          <w:szCs w:val="20"/>
        </w:rPr>
        <w:t xml:space="preserve"> </w:t>
      </w:r>
      <w:r w:rsidR="00785418">
        <w:rPr>
          <w:rFonts w:ascii="Times New Roman" w:eastAsia="宋体" w:hAnsi="Times New Roman" w:cs="Times New Roman"/>
          <w:b/>
          <w:bCs/>
          <w:kern w:val="0"/>
          <w:sz w:val="20"/>
          <w:szCs w:val="20"/>
        </w:rPr>
        <w:t xml:space="preserve">for </w:t>
      </w:r>
      <w:r>
        <w:rPr>
          <w:rFonts w:ascii="Times New Roman" w:eastAsia="宋体" w:hAnsi="Times New Roman" w:cs="Times New Roman"/>
          <w:b/>
          <w:bCs/>
          <w:kern w:val="0"/>
          <w:sz w:val="20"/>
          <w:szCs w:val="20"/>
        </w:rPr>
        <w:t>group</w:t>
      </w:r>
      <w:r w:rsidR="00300908">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based UE context setup for</w:t>
      </w:r>
      <w:r w:rsidR="00300908">
        <w:rPr>
          <w:rFonts w:ascii="Times New Roman" w:eastAsia="宋体" w:hAnsi="Times New Roman" w:cs="Times New Roman"/>
          <w:b/>
          <w:bCs/>
          <w:kern w:val="0"/>
          <w:sz w:val="20"/>
          <w:szCs w:val="20"/>
        </w:rPr>
        <w:t xml:space="preserve"> all </w:t>
      </w:r>
      <w:r w:rsidR="00CB6749" w:rsidRPr="00CB6749">
        <w:rPr>
          <w:rFonts w:ascii="Times New Roman" w:eastAsia="宋体" w:hAnsi="Times New Roman" w:cs="Times New Roman"/>
          <w:b/>
          <w:bCs/>
          <w:kern w:val="0"/>
          <w:sz w:val="20"/>
          <w:szCs w:val="20"/>
        </w:rPr>
        <w:t xml:space="preserve">onboard connected </w:t>
      </w:r>
      <w:r w:rsidR="00300908">
        <w:rPr>
          <w:rFonts w:ascii="Times New Roman" w:eastAsia="宋体" w:hAnsi="Times New Roman" w:cs="Times New Roman"/>
          <w:b/>
          <w:bCs/>
          <w:kern w:val="0"/>
          <w:sz w:val="20"/>
          <w:szCs w:val="20"/>
        </w:rPr>
        <w:t>UE of mobile IAB-node</w:t>
      </w:r>
      <w:r w:rsidR="000362AC">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0AAF90D9"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853907">
        <w:rPr>
          <w:rFonts w:ascii="Times New Roman" w:eastAsia="宋体" w:hAnsi="Times New Roman" w:cs="Times New Roman" w:hint="eastAsia"/>
          <w:kern w:val="0"/>
          <w:sz w:val="20"/>
          <w:szCs w:val="20"/>
        </w:rPr>
        <w:t>e</w:t>
      </w:r>
      <w:r w:rsidR="00853907" w:rsidRPr="00853907">
        <w:rPr>
          <w:rFonts w:ascii="Times New Roman" w:eastAsia="宋体" w:hAnsi="Times New Roman" w:cs="Times New Roman"/>
          <w:kern w:val="0"/>
          <w:sz w:val="20"/>
          <w:szCs w:val="20"/>
        </w:rPr>
        <w:t xml:space="preserve">nhancements for mobility of an IAB-node together with </w:t>
      </w:r>
      <w:proofErr w:type="gramStart"/>
      <w:r w:rsidR="00853907" w:rsidRPr="00853907">
        <w:rPr>
          <w:rFonts w:ascii="Times New Roman" w:eastAsia="宋体" w:hAnsi="Times New Roman" w:cs="Times New Roman"/>
          <w:kern w:val="0"/>
          <w:sz w:val="20"/>
          <w:szCs w:val="20"/>
        </w:rPr>
        <w:t>its</w:t>
      </w:r>
      <w:proofErr w:type="gramEnd"/>
      <w:r w:rsidR="00853907" w:rsidRPr="00853907">
        <w:rPr>
          <w:rFonts w:ascii="Times New Roman" w:eastAsia="宋体" w:hAnsi="Times New Roman" w:cs="Times New Roman"/>
          <w:kern w:val="0"/>
          <w:sz w:val="20"/>
          <w:szCs w:val="20"/>
        </w:rPr>
        <w:t xml:space="preserve"> served UEs</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3A70BAC5" w14:textId="77777777" w:rsidR="00DD0FB8" w:rsidRPr="00CB6749" w:rsidRDefault="00DD0FB8" w:rsidP="00DD0FB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B6749">
        <w:rPr>
          <w:rFonts w:ascii="Times New Roman" w:eastAsia="宋体" w:hAnsi="Times New Roman" w:cs="Times New Roman" w:hint="eastAsia"/>
          <w:b/>
          <w:bCs/>
          <w:kern w:val="0"/>
          <w:sz w:val="20"/>
          <w:szCs w:val="20"/>
        </w:rPr>
        <w:t>O</w:t>
      </w:r>
      <w:r w:rsidRPr="00CB6749">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G</w:t>
      </w:r>
      <w:r w:rsidRPr="00CB6749">
        <w:rPr>
          <w:rFonts w:ascii="Times New Roman" w:eastAsia="宋体" w:hAnsi="Times New Roman" w:cs="Times New Roman"/>
          <w:b/>
          <w:bCs/>
          <w:kern w:val="0"/>
          <w:sz w:val="20"/>
          <w:szCs w:val="20"/>
        </w:rPr>
        <w:t>roup mobility for all onboard connected UEs of the mobile IAB-node is beneficial for admission control and BH configuration for the target IAB-donor.</w:t>
      </w:r>
    </w:p>
    <w:p w14:paraId="2493D74B" w14:textId="77777777" w:rsidR="00D77785" w:rsidRDefault="00D77785" w:rsidP="00D7778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BC2F24">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Mobile IAB-MT includes the mobile att</w:t>
      </w:r>
      <w:r>
        <w:rPr>
          <w:rFonts w:ascii="Times New Roman" w:eastAsia="宋体" w:hAnsi="Times New Roman" w:cs="Times New Roman"/>
          <w:b/>
          <w:bCs/>
          <w:kern w:val="0"/>
          <w:sz w:val="20"/>
          <w:szCs w:val="20"/>
        </w:rPr>
        <w:t>r</w:t>
      </w:r>
      <w:r w:rsidRPr="00B173B2">
        <w:rPr>
          <w:rFonts w:ascii="Times New Roman" w:eastAsia="宋体" w:hAnsi="Times New Roman" w:cs="Times New Roman"/>
          <w:b/>
          <w:bCs/>
          <w:kern w:val="0"/>
          <w:sz w:val="20"/>
          <w:szCs w:val="20"/>
        </w:rPr>
        <w:t>ibute in RRCSetupComplete message</w:t>
      </w:r>
      <w:r>
        <w:rPr>
          <w:rFonts w:ascii="Times New Roman" w:eastAsia="宋体" w:hAnsi="Times New Roman" w:cs="Times New Roman"/>
          <w:b/>
          <w:bCs/>
          <w:kern w:val="0"/>
          <w:sz w:val="20"/>
          <w:szCs w:val="20"/>
        </w:rPr>
        <w:t xml:space="preserve"> </w:t>
      </w:r>
      <w:r w:rsidRPr="00B173B2">
        <w:rPr>
          <w:rFonts w:ascii="Times New Roman" w:eastAsia="宋体" w:hAnsi="Times New Roman" w:cs="Times New Roman"/>
          <w:b/>
          <w:bCs/>
          <w:kern w:val="0"/>
          <w:sz w:val="20"/>
          <w:szCs w:val="20"/>
        </w:rPr>
        <w:t>to IAB-donor-CU.</w:t>
      </w:r>
    </w:p>
    <w:p w14:paraId="56B72340" w14:textId="77777777" w:rsidR="00D77785" w:rsidRPr="00BC2F24" w:rsidRDefault="00D77785" w:rsidP="00D7778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C2F24">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2</w:t>
      </w:r>
      <w:r w:rsidRPr="00BC2F24">
        <w:rPr>
          <w:rFonts w:ascii="Times New Roman" w:eastAsia="宋体" w:hAnsi="Times New Roman" w:cs="Times New Roman"/>
          <w:b/>
          <w:bCs/>
          <w:kern w:val="0"/>
          <w:sz w:val="20"/>
          <w:szCs w:val="20"/>
        </w:rPr>
        <w:t>: Mobile attribute of mobile IAB</w:t>
      </w:r>
      <w:r>
        <w:rPr>
          <w:rFonts w:ascii="Times New Roman" w:eastAsia="宋体" w:hAnsi="Times New Roman" w:cs="Times New Roman"/>
          <w:b/>
          <w:bCs/>
          <w:kern w:val="0"/>
          <w:sz w:val="20"/>
          <w:szCs w:val="20"/>
        </w:rPr>
        <w:t>-</w:t>
      </w:r>
      <w:r w:rsidRPr="00BC2F24">
        <w:rPr>
          <w:rFonts w:ascii="Times New Roman" w:eastAsia="宋体" w:hAnsi="Times New Roman" w:cs="Times New Roman"/>
          <w:b/>
          <w:bCs/>
          <w:kern w:val="0"/>
          <w:sz w:val="20"/>
          <w:szCs w:val="20"/>
        </w:rPr>
        <w:t xml:space="preserve">node needs to be exchanged between source IAB-donor and target IAB-donor </w:t>
      </w:r>
      <w:r>
        <w:rPr>
          <w:rFonts w:ascii="Times New Roman" w:eastAsia="宋体" w:hAnsi="Times New Roman" w:cs="Times New Roman"/>
          <w:b/>
          <w:bCs/>
          <w:kern w:val="0"/>
          <w:sz w:val="20"/>
          <w:szCs w:val="20"/>
        </w:rPr>
        <w:t>via</w:t>
      </w:r>
      <w:r w:rsidRPr="00BC2F24">
        <w:rPr>
          <w:rFonts w:ascii="Times New Roman" w:eastAsia="宋体" w:hAnsi="Times New Roman" w:cs="Times New Roman"/>
          <w:b/>
          <w:bCs/>
          <w:kern w:val="0"/>
          <w:sz w:val="20"/>
          <w:szCs w:val="20"/>
        </w:rPr>
        <w:t xml:space="preserve"> XnAP</w:t>
      </w:r>
      <w:r>
        <w:rPr>
          <w:rFonts w:ascii="Times New Roman" w:eastAsia="宋体" w:hAnsi="Times New Roman" w:cs="Times New Roman"/>
          <w:b/>
          <w:bCs/>
          <w:kern w:val="0"/>
          <w:sz w:val="20"/>
          <w:szCs w:val="20"/>
        </w:rPr>
        <w:t xml:space="preserve"> or NGAP</w:t>
      </w:r>
      <w:r w:rsidRPr="00BC2F24">
        <w:rPr>
          <w:rFonts w:ascii="Times New Roman" w:eastAsia="宋体" w:hAnsi="Times New Roman" w:cs="Times New Roman"/>
          <w:b/>
          <w:bCs/>
          <w:kern w:val="0"/>
          <w:sz w:val="20"/>
          <w:szCs w:val="20"/>
        </w:rPr>
        <w:t xml:space="preserve"> during inter-donor migration procedure.</w:t>
      </w:r>
    </w:p>
    <w:p w14:paraId="4AD02145" w14:textId="77777777" w:rsidR="00D77785" w:rsidRPr="00E46C2A" w:rsidRDefault="00D77785" w:rsidP="00D7778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46C2A">
        <w:rPr>
          <w:rFonts w:ascii="Times New Roman" w:eastAsia="宋体" w:hAnsi="Times New Roman" w:cs="Times New Roman" w:hint="eastAsia"/>
          <w:b/>
          <w:bCs/>
          <w:kern w:val="0"/>
          <w:sz w:val="20"/>
          <w:szCs w:val="20"/>
        </w:rPr>
        <w:t>P</w:t>
      </w:r>
      <w:r w:rsidRPr="00E46C2A">
        <w:rPr>
          <w:rFonts w:ascii="Times New Roman" w:eastAsia="宋体" w:hAnsi="Times New Roman" w:cs="Times New Roman"/>
          <w:b/>
          <w:bCs/>
          <w:kern w:val="0"/>
          <w:sz w:val="20"/>
          <w:szCs w:val="20"/>
        </w:rPr>
        <w:t xml:space="preserve">roposal 3: </w:t>
      </w:r>
      <w:r>
        <w:rPr>
          <w:rFonts w:ascii="Times New Roman" w:eastAsia="宋体" w:hAnsi="Times New Roman" w:cs="Times New Roman"/>
          <w:b/>
          <w:bCs/>
          <w:kern w:val="0"/>
          <w:sz w:val="20"/>
          <w:szCs w:val="20"/>
        </w:rPr>
        <w:t>M</w:t>
      </w:r>
      <w:r w:rsidRPr="00A72210">
        <w:rPr>
          <w:rFonts w:ascii="Times New Roman" w:eastAsia="宋体" w:hAnsi="Times New Roman" w:cs="Times New Roman"/>
          <w:b/>
          <w:bCs/>
          <w:kern w:val="0"/>
          <w:sz w:val="20"/>
          <w:szCs w:val="20"/>
        </w:rPr>
        <w:t>obile IAB</w:t>
      </w:r>
      <w:r>
        <w:rPr>
          <w:rFonts w:ascii="Times New Roman" w:eastAsia="宋体" w:hAnsi="Times New Roman" w:cs="Times New Roman"/>
          <w:b/>
          <w:bCs/>
          <w:kern w:val="0"/>
          <w:sz w:val="20"/>
          <w:szCs w:val="20"/>
        </w:rPr>
        <w:t>-</w:t>
      </w:r>
      <w:r w:rsidRPr="00A72210">
        <w:rPr>
          <w:rFonts w:ascii="Times New Roman" w:eastAsia="宋体" w:hAnsi="Times New Roman" w:cs="Times New Roman"/>
          <w:b/>
          <w:bCs/>
          <w:kern w:val="0"/>
          <w:sz w:val="20"/>
          <w:szCs w:val="20"/>
        </w:rPr>
        <w:t>node broadcast</w:t>
      </w:r>
      <w:r>
        <w:rPr>
          <w:rFonts w:ascii="Times New Roman" w:eastAsia="宋体" w:hAnsi="Times New Roman" w:cs="Times New Roman"/>
          <w:b/>
          <w:bCs/>
          <w:kern w:val="0"/>
          <w:sz w:val="20"/>
          <w:szCs w:val="20"/>
        </w:rPr>
        <w:t>s</w:t>
      </w:r>
      <w:r w:rsidRPr="00A7221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its m</w:t>
      </w:r>
      <w:r w:rsidRPr="00A72210">
        <w:rPr>
          <w:rFonts w:ascii="Times New Roman" w:eastAsia="宋体" w:hAnsi="Times New Roman" w:cs="Times New Roman"/>
          <w:b/>
          <w:bCs/>
          <w:kern w:val="0"/>
          <w:sz w:val="20"/>
          <w:szCs w:val="20"/>
        </w:rPr>
        <w:t>obile attribute to UEs</w:t>
      </w:r>
      <w:r>
        <w:rPr>
          <w:rFonts w:ascii="Times New Roman" w:eastAsia="宋体" w:hAnsi="Times New Roman" w:cs="Times New Roman"/>
          <w:b/>
          <w:bCs/>
          <w:kern w:val="0"/>
          <w:sz w:val="20"/>
          <w:szCs w:val="20"/>
        </w:rPr>
        <w:t>, e.g., via SIB1.</w:t>
      </w:r>
    </w:p>
    <w:p w14:paraId="2D9937CC" w14:textId="705377D2" w:rsidR="00D77785" w:rsidRPr="00882390" w:rsidRDefault="00D77785" w:rsidP="00D7778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82390">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88239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To d</w:t>
      </w:r>
      <w:r w:rsidRPr="00882390">
        <w:rPr>
          <w:rFonts w:ascii="Times New Roman" w:eastAsia="宋体" w:hAnsi="Times New Roman" w:cs="Times New Roman"/>
          <w:b/>
          <w:bCs/>
          <w:kern w:val="0"/>
          <w:sz w:val="20"/>
          <w:szCs w:val="20"/>
        </w:rPr>
        <w:t xml:space="preserve">ifferentiate onboard UEs and surrounding UEs </w:t>
      </w:r>
      <w:r w:rsidR="00AE371C">
        <w:rPr>
          <w:rFonts w:ascii="Times New Roman" w:eastAsia="宋体" w:hAnsi="Times New Roman" w:cs="Times New Roman"/>
          <w:b/>
          <w:bCs/>
          <w:kern w:val="0"/>
          <w:sz w:val="20"/>
          <w:szCs w:val="20"/>
        </w:rPr>
        <w:t>of</w:t>
      </w:r>
      <w:r w:rsidRPr="00882390">
        <w:rPr>
          <w:rFonts w:ascii="Times New Roman" w:eastAsia="宋体" w:hAnsi="Times New Roman" w:cs="Times New Roman"/>
          <w:b/>
          <w:bCs/>
          <w:kern w:val="0"/>
          <w:sz w:val="20"/>
          <w:szCs w:val="20"/>
        </w:rPr>
        <w:t xml:space="preserve"> mobile IAB-node</w:t>
      </w:r>
      <w:r>
        <w:rPr>
          <w:rFonts w:ascii="Times New Roman" w:eastAsia="宋体" w:hAnsi="Times New Roman" w:cs="Times New Roman"/>
          <w:b/>
          <w:bCs/>
          <w:kern w:val="0"/>
          <w:sz w:val="20"/>
          <w:szCs w:val="20"/>
        </w:rPr>
        <w:t xml:space="preserve"> for IAB-donor</w:t>
      </w:r>
      <w:r w:rsidRPr="00882390">
        <w:rPr>
          <w:rFonts w:ascii="Times New Roman" w:eastAsia="宋体" w:hAnsi="Times New Roman" w:cs="Times New Roman"/>
          <w:b/>
          <w:bCs/>
          <w:kern w:val="0"/>
          <w:sz w:val="20"/>
          <w:szCs w:val="20"/>
        </w:rPr>
        <w:t>.</w:t>
      </w:r>
    </w:p>
    <w:p w14:paraId="457399D4" w14:textId="77777777" w:rsidR="00EE7EFE" w:rsidRDefault="00EE7EFE" w:rsidP="00EE7EF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E13436">
        <w:rPr>
          <w:rFonts w:ascii="Times New Roman" w:eastAsia="宋体" w:hAnsi="Times New Roman" w:cs="Times New Roman" w:hint="eastAsia"/>
          <w:b/>
          <w:bCs/>
          <w:kern w:val="0"/>
          <w:sz w:val="20"/>
          <w:szCs w:val="20"/>
        </w:rPr>
        <w:t>P</w:t>
      </w:r>
      <w:r w:rsidRPr="00E13436">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group mobility, a</w:t>
      </w:r>
      <w:r w:rsidRPr="00E13436">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group-based</w:t>
      </w:r>
      <w:r w:rsidRPr="00E13436">
        <w:rPr>
          <w:rFonts w:ascii="Times New Roman" w:eastAsia="宋体" w:hAnsi="Times New Roman" w:cs="Times New Roman"/>
          <w:b/>
          <w:bCs/>
          <w:kern w:val="0"/>
          <w:sz w:val="20"/>
          <w:szCs w:val="20"/>
        </w:rPr>
        <w:t xml:space="preserve"> Handover Request and Handover Request Acknowledge are used for all </w:t>
      </w:r>
      <w:r w:rsidRPr="00CB6749">
        <w:rPr>
          <w:rFonts w:ascii="Times New Roman" w:eastAsia="宋体" w:hAnsi="Times New Roman" w:cs="Times New Roman"/>
          <w:b/>
          <w:bCs/>
          <w:kern w:val="0"/>
          <w:sz w:val="20"/>
          <w:szCs w:val="20"/>
        </w:rPr>
        <w:t xml:space="preserve">onboard connected </w:t>
      </w:r>
      <w:r w:rsidRPr="00E13436">
        <w:rPr>
          <w:rFonts w:ascii="Times New Roman" w:eastAsia="宋体" w:hAnsi="Times New Roman" w:cs="Times New Roman"/>
          <w:b/>
          <w:bCs/>
          <w:kern w:val="0"/>
          <w:sz w:val="20"/>
          <w:szCs w:val="20"/>
        </w:rPr>
        <w:t>UEs</w:t>
      </w:r>
      <w:r>
        <w:rPr>
          <w:rFonts w:ascii="Times New Roman" w:eastAsia="宋体" w:hAnsi="Times New Roman" w:cs="Times New Roman"/>
          <w:b/>
          <w:bCs/>
          <w:kern w:val="0"/>
          <w:sz w:val="20"/>
          <w:szCs w:val="20"/>
        </w:rPr>
        <w:t xml:space="preserve"> of mobile IAB-node</w:t>
      </w:r>
      <w:r w:rsidRPr="00E13436">
        <w:rPr>
          <w:rFonts w:ascii="Times New Roman" w:eastAsia="宋体" w:hAnsi="Times New Roman" w:cs="Times New Roman"/>
          <w:b/>
          <w:bCs/>
          <w:kern w:val="0"/>
          <w:sz w:val="20"/>
          <w:szCs w:val="20"/>
        </w:rPr>
        <w:t>.</w:t>
      </w:r>
    </w:p>
    <w:p w14:paraId="5E647999" w14:textId="2F179545" w:rsidR="00D77785" w:rsidRDefault="00D77785" w:rsidP="00D7778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6: For group mobility, RAN3 defines a new non-UE associated F1AP procedure for group-based UE context setup for all </w:t>
      </w:r>
      <w:r w:rsidRPr="00CB6749">
        <w:rPr>
          <w:rFonts w:ascii="Times New Roman" w:eastAsia="宋体" w:hAnsi="Times New Roman" w:cs="Times New Roman"/>
          <w:b/>
          <w:bCs/>
          <w:kern w:val="0"/>
          <w:sz w:val="20"/>
          <w:szCs w:val="20"/>
        </w:rPr>
        <w:t xml:space="preserve">onboard connected </w:t>
      </w:r>
      <w:r>
        <w:rPr>
          <w:rFonts w:ascii="Times New Roman" w:eastAsia="宋体" w:hAnsi="Times New Roman" w:cs="Times New Roman"/>
          <w:b/>
          <w:bCs/>
          <w:kern w:val="0"/>
          <w:sz w:val="20"/>
          <w:szCs w:val="20"/>
        </w:rPr>
        <w:t>UE of mobile IAB-node</w:t>
      </w:r>
      <w:r w:rsidR="000362AC">
        <w:rPr>
          <w:rFonts w:ascii="Times New Roman" w:eastAsia="宋体" w:hAnsi="Times New Roman" w:cs="Times New Roman"/>
          <w:b/>
          <w:bCs/>
          <w:kern w:val="0"/>
          <w:sz w:val="20"/>
          <w:szCs w:val="20"/>
        </w:rPr>
        <w:t>.</w:t>
      </w:r>
    </w:p>
    <w:p w14:paraId="36C64219" w14:textId="2D361202" w:rsidR="007B3E4D" w:rsidRPr="007B3E4D" w:rsidRDefault="007B3E4D" w:rsidP="00D7778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B</w:t>
      </w:r>
      <w:r>
        <w:rPr>
          <w:rFonts w:ascii="Times New Roman" w:eastAsia="宋体" w:hAnsi="Times New Roman" w:cs="Times New Roman"/>
          <w:b/>
          <w:bCs/>
          <w:kern w:val="0"/>
          <w:sz w:val="20"/>
          <w:szCs w:val="20"/>
        </w:rPr>
        <w:t>ased on the proposals above, a corresponding TP to TS 38.401 for group mobility of mobile IAB-node is provided in [4].</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17AF3434" w14:textId="49014A6A" w:rsidR="00C45DB2" w:rsidRPr="00FD44EF" w:rsidRDefault="00FD44EF" w:rsidP="00FD44EF">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NR_mobile_IAB. </w:t>
      </w:r>
    </w:p>
    <w:p w14:paraId="0AAD0F64" w14:textId="7E3D762B" w:rsidR="004623EC" w:rsidRDefault="004623EC" w:rsidP="00944C8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RAN3 117-e meeting.</w:t>
      </w:r>
    </w:p>
    <w:p w14:paraId="16EB4603" w14:textId="3B683B0E" w:rsidR="001A1855" w:rsidRDefault="001A1855" w:rsidP="001A1855">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RAN2 119-e meeting.</w:t>
      </w:r>
    </w:p>
    <w:p w14:paraId="28AE5EA1" w14:textId="014A778C" w:rsidR="007B3E4D" w:rsidRPr="007B3E4D" w:rsidRDefault="007B3E4D" w:rsidP="007B3E4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A35B56">
        <w:rPr>
          <w:rFonts w:ascii="Times New Roman" w:eastAsia="宋体" w:hAnsi="Times New Roman" w:cs="Times New Roman" w:hint="eastAsia"/>
          <w:kern w:val="0"/>
          <w:sz w:val="20"/>
          <w:lang w:val="x-none"/>
        </w:rPr>
        <w:t>R</w:t>
      </w:r>
      <w:r w:rsidRPr="00A35B56">
        <w:rPr>
          <w:rFonts w:ascii="Times New Roman" w:eastAsia="宋体" w:hAnsi="Times New Roman" w:cs="Times New Roman"/>
          <w:kern w:val="0"/>
          <w:sz w:val="20"/>
          <w:lang w:val="x-none"/>
        </w:rPr>
        <w:t>3-22</w:t>
      </w:r>
      <w:r w:rsidR="003D535D">
        <w:rPr>
          <w:rFonts w:ascii="Times New Roman" w:eastAsia="宋体" w:hAnsi="Times New Roman" w:cs="Times New Roman"/>
          <w:kern w:val="0"/>
          <w:sz w:val="20"/>
          <w:lang w:val="x-none"/>
        </w:rPr>
        <w:t>5491</w:t>
      </w:r>
      <w:r w:rsidRPr="00A35B56">
        <w:rPr>
          <w:rFonts w:ascii="Times New Roman" w:eastAsia="宋体" w:hAnsi="Times New Roman" w:cs="Times New Roman"/>
          <w:kern w:val="0"/>
          <w:sz w:val="20"/>
          <w:lang w:val="x-none"/>
        </w:rPr>
        <w:t>.</w:t>
      </w:r>
      <w:r>
        <w:rPr>
          <w:rFonts w:ascii="Times New Roman" w:eastAsia="宋体" w:hAnsi="Times New Roman" w:cs="Times New Roman"/>
          <w:kern w:val="0"/>
          <w:sz w:val="20"/>
          <w:lang w:val="x-none"/>
        </w:rPr>
        <w:t xml:space="preserve"> </w:t>
      </w:r>
      <w:r w:rsidRPr="006C20A7">
        <w:rPr>
          <w:rFonts w:ascii="Times New Roman" w:eastAsia="宋体" w:hAnsi="Times New Roman" w:cs="Times New Roman"/>
          <w:kern w:val="0"/>
          <w:sz w:val="20"/>
          <w:lang w:val="x-none"/>
        </w:rPr>
        <w:t>(TP to TS 38.401) Support for group mobility of mobile IAB-node</w:t>
      </w:r>
      <w:r>
        <w:rPr>
          <w:rFonts w:ascii="Times New Roman" w:eastAsia="宋体" w:hAnsi="Times New Roman" w:cs="Times New Roman"/>
          <w:kern w:val="0"/>
          <w:sz w:val="20"/>
          <w:lang w:val="x-none"/>
        </w:rPr>
        <w:t xml:space="preserve">. Lenovo. </w:t>
      </w:r>
    </w:p>
    <w:p w14:paraId="12279688" w14:textId="156CDD6C" w:rsidR="00CD1838" w:rsidRPr="00CD1838" w:rsidRDefault="00CD1838" w:rsidP="00CD1838">
      <w:pPr>
        <w:widowControl/>
        <w:overflowPunct w:val="0"/>
        <w:autoSpaceDE w:val="0"/>
        <w:autoSpaceDN w:val="0"/>
        <w:adjustRightInd w:val="0"/>
        <w:spacing w:after="180"/>
        <w:jc w:val="left"/>
        <w:rPr>
          <w:rFonts w:ascii="Times New Roman" w:hAnsi="Times New Roman" w:cs="Times New Roman"/>
          <w:kern w:val="0"/>
          <w:sz w:val="20"/>
          <w:szCs w:val="20"/>
        </w:rPr>
      </w:pPr>
    </w:p>
    <w:sectPr w:rsidR="00CD1838" w:rsidRPr="00CD1838"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043CC" w14:textId="77777777" w:rsidR="00CF01E9" w:rsidRDefault="00CF01E9" w:rsidP="00AA3FAE">
      <w:r>
        <w:separator/>
      </w:r>
    </w:p>
  </w:endnote>
  <w:endnote w:type="continuationSeparator" w:id="0">
    <w:p w14:paraId="3636C893" w14:textId="77777777" w:rsidR="00CF01E9" w:rsidRDefault="00CF01E9"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374A3" w14:textId="77777777" w:rsidR="00CF01E9" w:rsidRDefault="00CF01E9" w:rsidP="00AA3FAE">
      <w:r>
        <w:separator/>
      </w:r>
    </w:p>
  </w:footnote>
  <w:footnote w:type="continuationSeparator" w:id="0">
    <w:p w14:paraId="3BDA19A1" w14:textId="77777777" w:rsidR="00CF01E9" w:rsidRDefault="00CF01E9"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9"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6"/>
  </w:num>
  <w:num w:numId="4">
    <w:abstractNumId w:val="8"/>
  </w:num>
  <w:num w:numId="5">
    <w:abstractNumId w:val="0"/>
  </w:num>
  <w:num w:numId="6">
    <w:abstractNumId w:val="1"/>
  </w:num>
  <w:num w:numId="7">
    <w:abstractNumId w:val="9"/>
  </w:num>
  <w:num w:numId="8">
    <w:abstractNumId w:val="3"/>
  </w:num>
  <w:num w:numId="9">
    <w:abstractNumId w:val="7"/>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2113"/>
    <w:rsid w:val="000024F1"/>
    <w:rsid w:val="00006F15"/>
    <w:rsid w:val="0000703A"/>
    <w:rsid w:val="00011F5D"/>
    <w:rsid w:val="000165E4"/>
    <w:rsid w:val="00017A52"/>
    <w:rsid w:val="00022004"/>
    <w:rsid w:val="00022A6F"/>
    <w:rsid w:val="000306D0"/>
    <w:rsid w:val="00032116"/>
    <w:rsid w:val="00035328"/>
    <w:rsid w:val="000358DE"/>
    <w:rsid w:val="00035983"/>
    <w:rsid w:val="000362AC"/>
    <w:rsid w:val="00046943"/>
    <w:rsid w:val="00047E11"/>
    <w:rsid w:val="000505CB"/>
    <w:rsid w:val="00050999"/>
    <w:rsid w:val="000566E1"/>
    <w:rsid w:val="00060A16"/>
    <w:rsid w:val="000613CF"/>
    <w:rsid w:val="0006683B"/>
    <w:rsid w:val="00070D39"/>
    <w:rsid w:val="00072D31"/>
    <w:rsid w:val="00086B95"/>
    <w:rsid w:val="000874BB"/>
    <w:rsid w:val="00095520"/>
    <w:rsid w:val="0009781A"/>
    <w:rsid w:val="000A18DF"/>
    <w:rsid w:val="000A3D7E"/>
    <w:rsid w:val="000B1D18"/>
    <w:rsid w:val="000B7C20"/>
    <w:rsid w:val="000C0937"/>
    <w:rsid w:val="000C15D9"/>
    <w:rsid w:val="000C3F89"/>
    <w:rsid w:val="000C7510"/>
    <w:rsid w:val="000D0A67"/>
    <w:rsid w:val="000D3ADF"/>
    <w:rsid w:val="000D4846"/>
    <w:rsid w:val="000D5F51"/>
    <w:rsid w:val="000E24D5"/>
    <w:rsid w:val="000E61B1"/>
    <w:rsid w:val="000E651D"/>
    <w:rsid w:val="000E706D"/>
    <w:rsid w:val="000F0260"/>
    <w:rsid w:val="000F0785"/>
    <w:rsid w:val="000F6A9D"/>
    <w:rsid w:val="00100689"/>
    <w:rsid w:val="00101812"/>
    <w:rsid w:val="00103F6F"/>
    <w:rsid w:val="00111B28"/>
    <w:rsid w:val="0011469E"/>
    <w:rsid w:val="00115E31"/>
    <w:rsid w:val="00121955"/>
    <w:rsid w:val="00123848"/>
    <w:rsid w:val="0012600A"/>
    <w:rsid w:val="00130515"/>
    <w:rsid w:val="00134A9A"/>
    <w:rsid w:val="00134C0A"/>
    <w:rsid w:val="001353CD"/>
    <w:rsid w:val="0015523D"/>
    <w:rsid w:val="001556FC"/>
    <w:rsid w:val="00161A1A"/>
    <w:rsid w:val="001623DF"/>
    <w:rsid w:val="0017256C"/>
    <w:rsid w:val="00172D96"/>
    <w:rsid w:val="0017587A"/>
    <w:rsid w:val="001847E8"/>
    <w:rsid w:val="00190FAF"/>
    <w:rsid w:val="0019499C"/>
    <w:rsid w:val="001A1855"/>
    <w:rsid w:val="001A2383"/>
    <w:rsid w:val="001A38C6"/>
    <w:rsid w:val="001A44C7"/>
    <w:rsid w:val="001B31AB"/>
    <w:rsid w:val="001C0F1D"/>
    <w:rsid w:val="001C3355"/>
    <w:rsid w:val="001D64DD"/>
    <w:rsid w:val="001F0325"/>
    <w:rsid w:val="001F1C18"/>
    <w:rsid w:val="001F34D3"/>
    <w:rsid w:val="001F5824"/>
    <w:rsid w:val="002070BF"/>
    <w:rsid w:val="00213791"/>
    <w:rsid w:val="0022248C"/>
    <w:rsid w:val="00222F62"/>
    <w:rsid w:val="002271C5"/>
    <w:rsid w:val="00227B13"/>
    <w:rsid w:val="00230B9F"/>
    <w:rsid w:val="00232519"/>
    <w:rsid w:val="00236927"/>
    <w:rsid w:val="0024433A"/>
    <w:rsid w:val="00245E3F"/>
    <w:rsid w:val="002500C6"/>
    <w:rsid w:val="00252938"/>
    <w:rsid w:val="00256265"/>
    <w:rsid w:val="00261529"/>
    <w:rsid w:val="00277010"/>
    <w:rsid w:val="00281EF8"/>
    <w:rsid w:val="00283294"/>
    <w:rsid w:val="00286C7E"/>
    <w:rsid w:val="00292940"/>
    <w:rsid w:val="00294BCA"/>
    <w:rsid w:val="002A5557"/>
    <w:rsid w:val="002A67AC"/>
    <w:rsid w:val="002A7108"/>
    <w:rsid w:val="002B23C1"/>
    <w:rsid w:val="002B61AB"/>
    <w:rsid w:val="002B7FB5"/>
    <w:rsid w:val="002C1BFE"/>
    <w:rsid w:val="002C6DA5"/>
    <w:rsid w:val="002D370E"/>
    <w:rsid w:val="002D6F0D"/>
    <w:rsid w:val="002E166E"/>
    <w:rsid w:val="002E4DF3"/>
    <w:rsid w:val="002F0CB9"/>
    <w:rsid w:val="002F231B"/>
    <w:rsid w:val="002F4481"/>
    <w:rsid w:val="002F49BB"/>
    <w:rsid w:val="002F7DD1"/>
    <w:rsid w:val="00300908"/>
    <w:rsid w:val="00304AB3"/>
    <w:rsid w:val="00312351"/>
    <w:rsid w:val="003169C7"/>
    <w:rsid w:val="0031760A"/>
    <w:rsid w:val="003179AD"/>
    <w:rsid w:val="0032255E"/>
    <w:rsid w:val="00324B30"/>
    <w:rsid w:val="0033243A"/>
    <w:rsid w:val="00340F49"/>
    <w:rsid w:val="00341F62"/>
    <w:rsid w:val="00343D32"/>
    <w:rsid w:val="0035034A"/>
    <w:rsid w:val="00351B06"/>
    <w:rsid w:val="003521C3"/>
    <w:rsid w:val="00362F2C"/>
    <w:rsid w:val="00364AC3"/>
    <w:rsid w:val="00371B3B"/>
    <w:rsid w:val="00373427"/>
    <w:rsid w:val="003848D1"/>
    <w:rsid w:val="00384956"/>
    <w:rsid w:val="00385E03"/>
    <w:rsid w:val="00387EF8"/>
    <w:rsid w:val="003901C4"/>
    <w:rsid w:val="003976B5"/>
    <w:rsid w:val="003A0B1A"/>
    <w:rsid w:val="003A4A2A"/>
    <w:rsid w:val="003A5735"/>
    <w:rsid w:val="003B170E"/>
    <w:rsid w:val="003B4C4B"/>
    <w:rsid w:val="003C172B"/>
    <w:rsid w:val="003C333E"/>
    <w:rsid w:val="003C6CEF"/>
    <w:rsid w:val="003D535D"/>
    <w:rsid w:val="003F22E5"/>
    <w:rsid w:val="003F2D27"/>
    <w:rsid w:val="003F2E3B"/>
    <w:rsid w:val="003F5217"/>
    <w:rsid w:val="00402DFA"/>
    <w:rsid w:val="0040415F"/>
    <w:rsid w:val="0040527B"/>
    <w:rsid w:val="00405361"/>
    <w:rsid w:val="00410D54"/>
    <w:rsid w:val="004139B5"/>
    <w:rsid w:val="004139F0"/>
    <w:rsid w:val="00415D56"/>
    <w:rsid w:val="00431BB4"/>
    <w:rsid w:val="0043789D"/>
    <w:rsid w:val="00445267"/>
    <w:rsid w:val="004561FF"/>
    <w:rsid w:val="00461164"/>
    <w:rsid w:val="004623EC"/>
    <w:rsid w:val="0046367F"/>
    <w:rsid w:val="004646DC"/>
    <w:rsid w:val="00470777"/>
    <w:rsid w:val="004774BA"/>
    <w:rsid w:val="0047779A"/>
    <w:rsid w:val="00482C89"/>
    <w:rsid w:val="00482EDB"/>
    <w:rsid w:val="00487DC1"/>
    <w:rsid w:val="00493281"/>
    <w:rsid w:val="004958CF"/>
    <w:rsid w:val="00496C05"/>
    <w:rsid w:val="004A40B8"/>
    <w:rsid w:val="004A7B5F"/>
    <w:rsid w:val="004B04C5"/>
    <w:rsid w:val="004B5B72"/>
    <w:rsid w:val="004B5BA7"/>
    <w:rsid w:val="004B5F55"/>
    <w:rsid w:val="004C4B68"/>
    <w:rsid w:val="004C753F"/>
    <w:rsid w:val="004D23F2"/>
    <w:rsid w:val="004D54D2"/>
    <w:rsid w:val="004E0968"/>
    <w:rsid w:val="004E23B0"/>
    <w:rsid w:val="004E7396"/>
    <w:rsid w:val="004F17F8"/>
    <w:rsid w:val="004F1FBE"/>
    <w:rsid w:val="004F7753"/>
    <w:rsid w:val="004F7F21"/>
    <w:rsid w:val="00502253"/>
    <w:rsid w:val="005038DA"/>
    <w:rsid w:val="0052218C"/>
    <w:rsid w:val="005237AE"/>
    <w:rsid w:val="00530F9F"/>
    <w:rsid w:val="00532DEC"/>
    <w:rsid w:val="005347E6"/>
    <w:rsid w:val="005355E0"/>
    <w:rsid w:val="00542A22"/>
    <w:rsid w:val="005508EC"/>
    <w:rsid w:val="00550D47"/>
    <w:rsid w:val="00552EC8"/>
    <w:rsid w:val="0055674D"/>
    <w:rsid w:val="00557AC7"/>
    <w:rsid w:val="00560BE1"/>
    <w:rsid w:val="00561078"/>
    <w:rsid w:val="00561F85"/>
    <w:rsid w:val="00562772"/>
    <w:rsid w:val="00564234"/>
    <w:rsid w:val="005649B3"/>
    <w:rsid w:val="0056637F"/>
    <w:rsid w:val="00571FC2"/>
    <w:rsid w:val="005734BC"/>
    <w:rsid w:val="00576069"/>
    <w:rsid w:val="00587CBF"/>
    <w:rsid w:val="005939B2"/>
    <w:rsid w:val="005A0141"/>
    <w:rsid w:val="005A7B59"/>
    <w:rsid w:val="005B4B3A"/>
    <w:rsid w:val="005B58A7"/>
    <w:rsid w:val="005B7597"/>
    <w:rsid w:val="005C686B"/>
    <w:rsid w:val="005C6B58"/>
    <w:rsid w:val="005C6EEA"/>
    <w:rsid w:val="005D003D"/>
    <w:rsid w:val="005E7BCB"/>
    <w:rsid w:val="006040E0"/>
    <w:rsid w:val="00604CC3"/>
    <w:rsid w:val="00605573"/>
    <w:rsid w:val="00607C4A"/>
    <w:rsid w:val="00612ED9"/>
    <w:rsid w:val="00625023"/>
    <w:rsid w:val="00625208"/>
    <w:rsid w:val="00632A14"/>
    <w:rsid w:val="0063421A"/>
    <w:rsid w:val="006447C8"/>
    <w:rsid w:val="00653585"/>
    <w:rsid w:val="00662469"/>
    <w:rsid w:val="00666EA1"/>
    <w:rsid w:val="006749D1"/>
    <w:rsid w:val="006804B4"/>
    <w:rsid w:val="00683F4C"/>
    <w:rsid w:val="00684A40"/>
    <w:rsid w:val="00687312"/>
    <w:rsid w:val="00687695"/>
    <w:rsid w:val="00696619"/>
    <w:rsid w:val="006A3137"/>
    <w:rsid w:val="006A3783"/>
    <w:rsid w:val="006A53D6"/>
    <w:rsid w:val="006B0FE9"/>
    <w:rsid w:val="006C1E84"/>
    <w:rsid w:val="006C20A7"/>
    <w:rsid w:val="006C38B0"/>
    <w:rsid w:val="006D1A36"/>
    <w:rsid w:val="006D2AEE"/>
    <w:rsid w:val="006D6F3D"/>
    <w:rsid w:val="006E2F17"/>
    <w:rsid w:val="006E5566"/>
    <w:rsid w:val="006E5A0A"/>
    <w:rsid w:val="006E7CED"/>
    <w:rsid w:val="006F50AC"/>
    <w:rsid w:val="00703BAA"/>
    <w:rsid w:val="00705A56"/>
    <w:rsid w:val="0070723A"/>
    <w:rsid w:val="00707369"/>
    <w:rsid w:val="00715902"/>
    <w:rsid w:val="0071674C"/>
    <w:rsid w:val="007209B0"/>
    <w:rsid w:val="00730BC7"/>
    <w:rsid w:val="00732AEF"/>
    <w:rsid w:val="00737853"/>
    <w:rsid w:val="007452B6"/>
    <w:rsid w:val="0075185D"/>
    <w:rsid w:val="0075187D"/>
    <w:rsid w:val="0075356E"/>
    <w:rsid w:val="00756B5D"/>
    <w:rsid w:val="00766B27"/>
    <w:rsid w:val="0076720C"/>
    <w:rsid w:val="00770C1B"/>
    <w:rsid w:val="00780AEB"/>
    <w:rsid w:val="0078172C"/>
    <w:rsid w:val="007846F4"/>
    <w:rsid w:val="00785418"/>
    <w:rsid w:val="007A772F"/>
    <w:rsid w:val="007A7E72"/>
    <w:rsid w:val="007B2F30"/>
    <w:rsid w:val="007B3E4D"/>
    <w:rsid w:val="007C4A72"/>
    <w:rsid w:val="007D06AC"/>
    <w:rsid w:val="007E1B20"/>
    <w:rsid w:val="007F2A4D"/>
    <w:rsid w:val="007F2E5B"/>
    <w:rsid w:val="007F7AF7"/>
    <w:rsid w:val="00807049"/>
    <w:rsid w:val="00811326"/>
    <w:rsid w:val="00813C06"/>
    <w:rsid w:val="00832BE1"/>
    <w:rsid w:val="00835D29"/>
    <w:rsid w:val="0084197E"/>
    <w:rsid w:val="008522C2"/>
    <w:rsid w:val="00853907"/>
    <w:rsid w:val="00864DEE"/>
    <w:rsid w:val="00865F65"/>
    <w:rsid w:val="00866ED3"/>
    <w:rsid w:val="00870252"/>
    <w:rsid w:val="008714A7"/>
    <w:rsid w:val="00881EEB"/>
    <w:rsid w:val="0088224B"/>
    <w:rsid w:val="00885223"/>
    <w:rsid w:val="0088742B"/>
    <w:rsid w:val="00887EAA"/>
    <w:rsid w:val="0089705F"/>
    <w:rsid w:val="008974CD"/>
    <w:rsid w:val="008B1345"/>
    <w:rsid w:val="008B1CAD"/>
    <w:rsid w:val="008B43D4"/>
    <w:rsid w:val="008B4CFB"/>
    <w:rsid w:val="008B7D21"/>
    <w:rsid w:val="008C26CC"/>
    <w:rsid w:val="008D3D70"/>
    <w:rsid w:val="008D7810"/>
    <w:rsid w:val="008E0ECE"/>
    <w:rsid w:val="008E4EEB"/>
    <w:rsid w:val="008E59A7"/>
    <w:rsid w:val="008F063F"/>
    <w:rsid w:val="00906767"/>
    <w:rsid w:val="009113BD"/>
    <w:rsid w:val="00912EF8"/>
    <w:rsid w:val="009174F1"/>
    <w:rsid w:val="00922240"/>
    <w:rsid w:val="00924649"/>
    <w:rsid w:val="009259CA"/>
    <w:rsid w:val="00926DCD"/>
    <w:rsid w:val="00932D3E"/>
    <w:rsid w:val="00943A26"/>
    <w:rsid w:val="00944C84"/>
    <w:rsid w:val="00945820"/>
    <w:rsid w:val="00952028"/>
    <w:rsid w:val="0095297E"/>
    <w:rsid w:val="00953570"/>
    <w:rsid w:val="009551A9"/>
    <w:rsid w:val="00957C7B"/>
    <w:rsid w:val="009900C7"/>
    <w:rsid w:val="009912C5"/>
    <w:rsid w:val="00992405"/>
    <w:rsid w:val="009926ED"/>
    <w:rsid w:val="00994662"/>
    <w:rsid w:val="00994907"/>
    <w:rsid w:val="009B19F1"/>
    <w:rsid w:val="009B3EF1"/>
    <w:rsid w:val="009C3C24"/>
    <w:rsid w:val="009C6DD1"/>
    <w:rsid w:val="009C7F3D"/>
    <w:rsid w:val="009D6382"/>
    <w:rsid w:val="009E44BA"/>
    <w:rsid w:val="009E4AD9"/>
    <w:rsid w:val="009E4D5F"/>
    <w:rsid w:val="009E506A"/>
    <w:rsid w:val="009E707E"/>
    <w:rsid w:val="009E7474"/>
    <w:rsid w:val="009F1E23"/>
    <w:rsid w:val="00A035AE"/>
    <w:rsid w:val="00A04D91"/>
    <w:rsid w:val="00A16F17"/>
    <w:rsid w:val="00A2110E"/>
    <w:rsid w:val="00A218C1"/>
    <w:rsid w:val="00A21C09"/>
    <w:rsid w:val="00A24E34"/>
    <w:rsid w:val="00A26D85"/>
    <w:rsid w:val="00A26E1D"/>
    <w:rsid w:val="00A27064"/>
    <w:rsid w:val="00A35B56"/>
    <w:rsid w:val="00A37406"/>
    <w:rsid w:val="00A45B7F"/>
    <w:rsid w:val="00A46452"/>
    <w:rsid w:val="00A51D78"/>
    <w:rsid w:val="00A53E8A"/>
    <w:rsid w:val="00A601A2"/>
    <w:rsid w:val="00A60302"/>
    <w:rsid w:val="00A63D75"/>
    <w:rsid w:val="00A661E2"/>
    <w:rsid w:val="00A765AC"/>
    <w:rsid w:val="00A77D6B"/>
    <w:rsid w:val="00A81646"/>
    <w:rsid w:val="00A84D97"/>
    <w:rsid w:val="00A85027"/>
    <w:rsid w:val="00A93291"/>
    <w:rsid w:val="00A933F5"/>
    <w:rsid w:val="00AA290B"/>
    <w:rsid w:val="00AA2E85"/>
    <w:rsid w:val="00AA3FAE"/>
    <w:rsid w:val="00AA70B5"/>
    <w:rsid w:val="00AA7EAE"/>
    <w:rsid w:val="00AB0A5A"/>
    <w:rsid w:val="00AC25E2"/>
    <w:rsid w:val="00AC3051"/>
    <w:rsid w:val="00AC44C3"/>
    <w:rsid w:val="00AC553A"/>
    <w:rsid w:val="00AC5A84"/>
    <w:rsid w:val="00AE371C"/>
    <w:rsid w:val="00AE4ACB"/>
    <w:rsid w:val="00AF05F2"/>
    <w:rsid w:val="00AF4491"/>
    <w:rsid w:val="00AF7716"/>
    <w:rsid w:val="00B0062A"/>
    <w:rsid w:val="00B06DA9"/>
    <w:rsid w:val="00B173B2"/>
    <w:rsid w:val="00B204E7"/>
    <w:rsid w:val="00B2364A"/>
    <w:rsid w:val="00B25314"/>
    <w:rsid w:val="00B26539"/>
    <w:rsid w:val="00B328E2"/>
    <w:rsid w:val="00B33EE7"/>
    <w:rsid w:val="00B34B5A"/>
    <w:rsid w:val="00B40018"/>
    <w:rsid w:val="00B403D4"/>
    <w:rsid w:val="00B447E6"/>
    <w:rsid w:val="00B46699"/>
    <w:rsid w:val="00B54FE2"/>
    <w:rsid w:val="00B72A52"/>
    <w:rsid w:val="00B74D0D"/>
    <w:rsid w:val="00B83738"/>
    <w:rsid w:val="00B87F6F"/>
    <w:rsid w:val="00B93874"/>
    <w:rsid w:val="00B97129"/>
    <w:rsid w:val="00BA2D04"/>
    <w:rsid w:val="00BA5E1C"/>
    <w:rsid w:val="00BA5EDA"/>
    <w:rsid w:val="00BA684C"/>
    <w:rsid w:val="00BB35E5"/>
    <w:rsid w:val="00BB4827"/>
    <w:rsid w:val="00BC28F3"/>
    <w:rsid w:val="00BC78CF"/>
    <w:rsid w:val="00BD17DA"/>
    <w:rsid w:val="00BD48C4"/>
    <w:rsid w:val="00BD4F43"/>
    <w:rsid w:val="00BD6541"/>
    <w:rsid w:val="00BD738F"/>
    <w:rsid w:val="00BE0BE9"/>
    <w:rsid w:val="00BE22B6"/>
    <w:rsid w:val="00BF29CB"/>
    <w:rsid w:val="00BF33F7"/>
    <w:rsid w:val="00BF3EB7"/>
    <w:rsid w:val="00BF6DFF"/>
    <w:rsid w:val="00C00903"/>
    <w:rsid w:val="00C05BB5"/>
    <w:rsid w:val="00C11C51"/>
    <w:rsid w:val="00C11F54"/>
    <w:rsid w:val="00C14D58"/>
    <w:rsid w:val="00C15F89"/>
    <w:rsid w:val="00C22AF4"/>
    <w:rsid w:val="00C245B8"/>
    <w:rsid w:val="00C25734"/>
    <w:rsid w:val="00C27EF7"/>
    <w:rsid w:val="00C31487"/>
    <w:rsid w:val="00C330D5"/>
    <w:rsid w:val="00C33EEF"/>
    <w:rsid w:val="00C34B6D"/>
    <w:rsid w:val="00C447AC"/>
    <w:rsid w:val="00C45DB2"/>
    <w:rsid w:val="00C53D68"/>
    <w:rsid w:val="00C607C0"/>
    <w:rsid w:val="00C7223F"/>
    <w:rsid w:val="00C72915"/>
    <w:rsid w:val="00C85269"/>
    <w:rsid w:val="00C92F7E"/>
    <w:rsid w:val="00C9727F"/>
    <w:rsid w:val="00C975EA"/>
    <w:rsid w:val="00CA267C"/>
    <w:rsid w:val="00CA2C1E"/>
    <w:rsid w:val="00CA2F8B"/>
    <w:rsid w:val="00CB162A"/>
    <w:rsid w:val="00CB3C92"/>
    <w:rsid w:val="00CB6749"/>
    <w:rsid w:val="00CC31C4"/>
    <w:rsid w:val="00CC614A"/>
    <w:rsid w:val="00CD1838"/>
    <w:rsid w:val="00CD3CA4"/>
    <w:rsid w:val="00CD5BFB"/>
    <w:rsid w:val="00CD79A8"/>
    <w:rsid w:val="00CE123B"/>
    <w:rsid w:val="00CF01E9"/>
    <w:rsid w:val="00CF1634"/>
    <w:rsid w:val="00CF481F"/>
    <w:rsid w:val="00CF4D2F"/>
    <w:rsid w:val="00CF620B"/>
    <w:rsid w:val="00D04CF3"/>
    <w:rsid w:val="00D104F6"/>
    <w:rsid w:val="00D10A73"/>
    <w:rsid w:val="00D16A9A"/>
    <w:rsid w:val="00D17D74"/>
    <w:rsid w:val="00D224C9"/>
    <w:rsid w:val="00D27582"/>
    <w:rsid w:val="00D355CC"/>
    <w:rsid w:val="00D418AD"/>
    <w:rsid w:val="00D51E3A"/>
    <w:rsid w:val="00D523ED"/>
    <w:rsid w:val="00D54D42"/>
    <w:rsid w:val="00D57255"/>
    <w:rsid w:val="00D65253"/>
    <w:rsid w:val="00D67F2F"/>
    <w:rsid w:val="00D72997"/>
    <w:rsid w:val="00D7562B"/>
    <w:rsid w:val="00D76857"/>
    <w:rsid w:val="00D76F6E"/>
    <w:rsid w:val="00D77785"/>
    <w:rsid w:val="00D8082F"/>
    <w:rsid w:val="00D83A9F"/>
    <w:rsid w:val="00D84224"/>
    <w:rsid w:val="00D918B8"/>
    <w:rsid w:val="00D956D6"/>
    <w:rsid w:val="00DA1F42"/>
    <w:rsid w:val="00DA3F49"/>
    <w:rsid w:val="00DC21C1"/>
    <w:rsid w:val="00DC331A"/>
    <w:rsid w:val="00DD042C"/>
    <w:rsid w:val="00DD07BD"/>
    <w:rsid w:val="00DD0FB8"/>
    <w:rsid w:val="00DD60E2"/>
    <w:rsid w:val="00DE36BD"/>
    <w:rsid w:val="00DE67F4"/>
    <w:rsid w:val="00DF01D0"/>
    <w:rsid w:val="00DF28E0"/>
    <w:rsid w:val="00DF5B75"/>
    <w:rsid w:val="00DF66F0"/>
    <w:rsid w:val="00E00579"/>
    <w:rsid w:val="00E037D5"/>
    <w:rsid w:val="00E04A87"/>
    <w:rsid w:val="00E07600"/>
    <w:rsid w:val="00E122FB"/>
    <w:rsid w:val="00E15A94"/>
    <w:rsid w:val="00E27BBF"/>
    <w:rsid w:val="00E33406"/>
    <w:rsid w:val="00E3698A"/>
    <w:rsid w:val="00E4002F"/>
    <w:rsid w:val="00E42658"/>
    <w:rsid w:val="00E46C2A"/>
    <w:rsid w:val="00E500C5"/>
    <w:rsid w:val="00E51E85"/>
    <w:rsid w:val="00E52A20"/>
    <w:rsid w:val="00E55D1E"/>
    <w:rsid w:val="00E5668E"/>
    <w:rsid w:val="00E57029"/>
    <w:rsid w:val="00E609B5"/>
    <w:rsid w:val="00E61DE0"/>
    <w:rsid w:val="00E63122"/>
    <w:rsid w:val="00E63F06"/>
    <w:rsid w:val="00E64886"/>
    <w:rsid w:val="00E6798F"/>
    <w:rsid w:val="00E67E0B"/>
    <w:rsid w:val="00E7751B"/>
    <w:rsid w:val="00E808A2"/>
    <w:rsid w:val="00E809E7"/>
    <w:rsid w:val="00E90079"/>
    <w:rsid w:val="00E92EB2"/>
    <w:rsid w:val="00EA73E5"/>
    <w:rsid w:val="00EB3664"/>
    <w:rsid w:val="00EB3AF7"/>
    <w:rsid w:val="00ED74D3"/>
    <w:rsid w:val="00EE2B0A"/>
    <w:rsid w:val="00EE3198"/>
    <w:rsid w:val="00EE31DA"/>
    <w:rsid w:val="00EE7EFE"/>
    <w:rsid w:val="00EF57C9"/>
    <w:rsid w:val="00F0297E"/>
    <w:rsid w:val="00F077A3"/>
    <w:rsid w:val="00F07B1B"/>
    <w:rsid w:val="00F10471"/>
    <w:rsid w:val="00F112F6"/>
    <w:rsid w:val="00F158EE"/>
    <w:rsid w:val="00F15EF8"/>
    <w:rsid w:val="00F25C1E"/>
    <w:rsid w:val="00F32774"/>
    <w:rsid w:val="00F448E2"/>
    <w:rsid w:val="00F5031F"/>
    <w:rsid w:val="00F52357"/>
    <w:rsid w:val="00F529D7"/>
    <w:rsid w:val="00F5322B"/>
    <w:rsid w:val="00F56AEB"/>
    <w:rsid w:val="00F6131B"/>
    <w:rsid w:val="00F61D17"/>
    <w:rsid w:val="00F67B2B"/>
    <w:rsid w:val="00F7451E"/>
    <w:rsid w:val="00F77D76"/>
    <w:rsid w:val="00F80B45"/>
    <w:rsid w:val="00F862F2"/>
    <w:rsid w:val="00F9005F"/>
    <w:rsid w:val="00F910F0"/>
    <w:rsid w:val="00F954B8"/>
    <w:rsid w:val="00FA00C8"/>
    <w:rsid w:val="00FA440F"/>
    <w:rsid w:val="00FB04E0"/>
    <w:rsid w:val="00FB795E"/>
    <w:rsid w:val="00FC144A"/>
    <w:rsid w:val="00FC5406"/>
    <w:rsid w:val="00FD075D"/>
    <w:rsid w:val="00FD222B"/>
    <w:rsid w:val="00FD44EF"/>
    <w:rsid w:val="00FD491E"/>
    <w:rsid w:val="00FE6719"/>
    <w:rsid w:val="00FF2385"/>
    <w:rsid w:val="00FF6205"/>
    <w:rsid w:val="00FF69EA"/>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3843</TotalTime>
  <Pages>3</Pages>
  <Words>1404</Words>
  <Characters>8006</Characters>
  <Application>Microsoft Office Word</Application>
  <DocSecurity>0</DocSecurity>
  <Lines>66</Lines>
  <Paragraphs>18</Paragraphs>
  <ScaleCrop>false</ScaleCrop>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439</cp:revision>
  <dcterms:created xsi:type="dcterms:W3CDTF">2021-01-15T00:45:00Z</dcterms:created>
  <dcterms:modified xsi:type="dcterms:W3CDTF">2022-09-28T01:22:00Z</dcterms:modified>
</cp:coreProperties>
</file>